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67259887"/>
    <w:p w:rsidR="00D36B0A" w:rsidRPr="00D36B0A" w:rsidRDefault="00461DC6" w:rsidP="00D36B0A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>
                <wp:simplePos x="0" y="0"/>
                <wp:positionH relativeFrom="page">
                  <wp:posOffset>648335</wp:posOffset>
                </wp:positionH>
                <wp:positionV relativeFrom="page">
                  <wp:posOffset>414020</wp:posOffset>
                </wp:positionV>
                <wp:extent cx="4872355" cy="901700"/>
                <wp:effectExtent l="635" t="4445" r="3810" b="825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CA0" w:rsidRPr="00071D67" w:rsidRDefault="00294CA0" w:rsidP="00D36B0A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Funds </w:t>
                            </w:r>
                            <w:r w:rsidRPr="00071D67">
                              <w:rPr>
                                <w:b/>
                              </w:rPr>
                              <w:t>in Court</w:t>
                            </w:r>
                          </w:p>
                          <w:p w:rsidR="00294CA0" w:rsidRPr="00071D67" w:rsidRDefault="00294CA0" w:rsidP="00D36B0A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071D67">
                              <w:rPr>
                                <w:sz w:val="36"/>
                                <w:szCs w:val="36"/>
                              </w:rPr>
                              <w:t>Common Fund No. 2</w:t>
                            </w:r>
                          </w:p>
                          <w:p w:rsidR="00294CA0" w:rsidRPr="00694BD4" w:rsidRDefault="00294CA0" w:rsidP="00D36B0A">
                            <w:pPr>
                              <w:pStyle w:val="Titlesecondary"/>
                            </w:pPr>
                            <w:r>
                              <w:rPr>
                                <w:rFonts w:cs="Arial"/>
                                <w:szCs w:val="28"/>
                              </w:rPr>
                              <w:t>Annual Fact Sheet - 30 June 2022</w:t>
                            </w:r>
                          </w:p>
                          <w:p w:rsidR="00294CA0" w:rsidRDefault="00294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.05pt;margin-top:32.6pt;width:383.65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" o:allowoverlap="f" stroked="f">
                <v:fill opacity="0"/>
                <v:textbox>
                  <w:txbxContent>
                    <w:p w:rsidR="00294CA0" w:rsidRPr="00071D67" w:rsidRDefault="00294CA0" w:rsidP="00D36B0A">
                      <w:pPr>
                        <w:pStyle w:val="FactsheetTitl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Funds </w:t>
                      </w:r>
                      <w:r w:rsidRPr="00071D67">
                        <w:rPr>
                          <w:b/>
                        </w:rPr>
                        <w:t>in Court</w:t>
                      </w:r>
                    </w:p>
                    <w:p w:rsidR="00294CA0" w:rsidRPr="00071D67" w:rsidRDefault="00294CA0" w:rsidP="00D36B0A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071D67">
                        <w:rPr>
                          <w:sz w:val="36"/>
                          <w:szCs w:val="36"/>
                        </w:rPr>
                        <w:t>Common Fund No. 2</w:t>
                      </w:r>
                    </w:p>
                    <w:p w:rsidR="00294CA0" w:rsidRPr="00694BD4" w:rsidRDefault="00294CA0" w:rsidP="00D36B0A">
                      <w:pPr>
                        <w:pStyle w:val="Titlesecondary"/>
                      </w:pPr>
                      <w:r>
                        <w:rPr>
                          <w:rFonts w:cs="Arial"/>
                          <w:szCs w:val="28"/>
                        </w:rPr>
                        <w:t>Annual Fact Sheet - 30 June 2022</w:t>
                      </w:r>
                    </w:p>
                    <w:p w:rsidR="00294CA0" w:rsidRDefault="00294CA0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36B0A" w:rsidRPr="00D36B0A">
        <w:rPr>
          <w:rFonts w:cs="Arial"/>
          <w:b/>
          <w:color w:val="943634"/>
          <w:szCs w:val="22"/>
        </w:rPr>
        <w:t>Fund Overview</w:t>
      </w:r>
    </w:p>
    <w:p w:rsidR="00D36B0A" w:rsidRPr="0073116E" w:rsidRDefault="00D66C17" w:rsidP="005462E6">
      <w:pPr>
        <w:spacing w:before="100" w:beforeAutospacing="1"/>
        <w:rPr>
          <w:rFonts w:cs="Arial"/>
          <w:szCs w:val="22"/>
        </w:rPr>
      </w:pPr>
      <w:r w:rsidRPr="00970E66">
        <w:rPr>
          <w:bCs/>
          <w:color w:val="auto"/>
        </w:rPr>
        <w:t xml:space="preserve">Common Fund No. </w:t>
      </w:r>
      <w:r w:rsidR="00D36B0A" w:rsidRPr="00970E66">
        <w:rPr>
          <w:bCs/>
          <w:color w:val="auto"/>
        </w:rPr>
        <w:t>2 [CF-2] provide</w:t>
      </w:r>
      <w:r w:rsidR="00153059">
        <w:rPr>
          <w:bCs/>
          <w:color w:val="auto"/>
        </w:rPr>
        <w:t>s</w:t>
      </w:r>
      <w:r w:rsidR="00D36B0A" w:rsidRPr="00970E66">
        <w:rPr>
          <w:bCs/>
          <w:color w:val="auto"/>
        </w:rPr>
        <w:t xml:space="preserve"> beneficiaries with exposure to a low risk portfolio of </w:t>
      </w:r>
      <w:r w:rsidR="001E0ED3" w:rsidRPr="00970E66">
        <w:rPr>
          <w:bCs/>
          <w:color w:val="auto"/>
        </w:rPr>
        <w:t xml:space="preserve">defensive, </w:t>
      </w:r>
      <w:r w:rsidR="00D36B0A" w:rsidRPr="00970E66">
        <w:rPr>
          <w:bCs/>
          <w:color w:val="auto"/>
        </w:rPr>
        <w:t xml:space="preserve">income producing </w:t>
      </w:r>
      <w:r w:rsidR="001E0ED3" w:rsidRPr="00970E66">
        <w:rPr>
          <w:bCs/>
          <w:color w:val="auto"/>
        </w:rPr>
        <w:t>assets</w:t>
      </w:r>
      <w:r w:rsidR="00D36B0A" w:rsidRPr="00970E66">
        <w:rPr>
          <w:bCs/>
          <w:color w:val="auto"/>
        </w:rPr>
        <w:t xml:space="preserve">. The Fund invests primarily in a combination of </w:t>
      </w:r>
      <w:r w:rsidR="001E0ED3" w:rsidRPr="00970E66">
        <w:rPr>
          <w:bCs/>
          <w:color w:val="auto"/>
        </w:rPr>
        <w:t>‘</w:t>
      </w:r>
      <w:r w:rsidR="00D36B0A" w:rsidRPr="00970E66">
        <w:rPr>
          <w:bCs/>
          <w:color w:val="auto"/>
        </w:rPr>
        <w:t>at-call</w:t>
      </w:r>
      <w:r w:rsidR="001E0ED3" w:rsidRPr="00970E66">
        <w:rPr>
          <w:bCs/>
          <w:color w:val="auto"/>
        </w:rPr>
        <w:t>’</w:t>
      </w:r>
      <w:r w:rsidR="00D36B0A" w:rsidRPr="00970E66">
        <w:rPr>
          <w:bCs/>
          <w:color w:val="auto"/>
        </w:rPr>
        <w:t xml:space="preserve"> cash, term deposits and high quality fixed income securities/ bonds</w:t>
      </w:r>
      <w:r w:rsidR="00D36B0A" w:rsidRPr="0073116E">
        <w:rPr>
          <w:rFonts w:cs="Arial"/>
          <w:szCs w:val="22"/>
        </w:rPr>
        <w:t xml:space="preserve">. </w:t>
      </w:r>
    </w:p>
    <w:p w:rsidR="00D36B0A" w:rsidRPr="0073116E" w:rsidRDefault="00D36B0A" w:rsidP="00D36B0A">
      <w:pPr>
        <w:jc w:val="both"/>
        <w:rPr>
          <w:rFonts w:cs="Arial"/>
          <w:szCs w:val="22"/>
        </w:rPr>
      </w:pPr>
    </w:p>
    <w:p w:rsidR="00D36B0A" w:rsidRPr="0073116E" w:rsidRDefault="00D36B0A" w:rsidP="00D36B0A">
      <w:pPr>
        <w:jc w:val="both"/>
        <w:rPr>
          <w:rFonts w:cs="Arial"/>
          <w:b/>
          <w:color w:val="943634"/>
          <w:szCs w:val="22"/>
        </w:rPr>
      </w:pPr>
      <w:r w:rsidRPr="0073116E">
        <w:rPr>
          <w:rFonts w:cs="Arial"/>
          <w:b/>
          <w:color w:val="943634"/>
          <w:szCs w:val="22"/>
        </w:rPr>
        <w:t>Fund Objective</w:t>
      </w:r>
    </w:p>
    <w:p w:rsidR="00DE61A3" w:rsidRDefault="00DE61A3" w:rsidP="00D36B0A">
      <w:pPr>
        <w:jc w:val="both"/>
        <w:rPr>
          <w:rFonts w:cs="Arial"/>
          <w:szCs w:val="22"/>
        </w:rPr>
      </w:pPr>
    </w:p>
    <w:p w:rsidR="00D36B0A" w:rsidRPr="00970E66" w:rsidRDefault="00D36B0A" w:rsidP="00D66C17">
      <w:pPr>
        <w:rPr>
          <w:bCs/>
          <w:color w:val="auto"/>
        </w:rPr>
      </w:pPr>
      <w:r w:rsidRPr="00970E66">
        <w:rPr>
          <w:bCs/>
          <w:color w:val="auto"/>
        </w:rPr>
        <w:t>To provide the maximum possible return with an emphasis on income and capital preservation over the medium to long term via investment in approved securities.</w:t>
      </w:r>
    </w:p>
    <w:p w:rsidR="00D36B0A" w:rsidRPr="0073116E" w:rsidRDefault="00D36B0A" w:rsidP="00D36B0A">
      <w:pPr>
        <w:jc w:val="both"/>
        <w:rPr>
          <w:rFonts w:cs="Arial"/>
          <w:szCs w:val="22"/>
        </w:rPr>
      </w:pPr>
    </w:p>
    <w:p w:rsidR="00A3289C" w:rsidRDefault="00D36B0A" w:rsidP="00572CD3">
      <w:pPr>
        <w:pStyle w:val="Body"/>
        <w:spacing w:after="0"/>
      </w:pPr>
      <w:r w:rsidRPr="00955E77">
        <w:rPr>
          <w:b/>
          <w:bCs/>
          <w:color w:val="943634"/>
          <w:szCs w:val="22"/>
        </w:rPr>
        <w:t>Asset Allocation</w:t>
      </w:r>
    </w:p>
    <w:p w:rsidR="00D36B0A" w:rsidRDefault="00D36B0A" w:rsidP="00D36B0A">
      <w:pPr>
        <w:jc w:val="both"/>
      </w:pPr>
    </w:p>
    <w:p w:rsidR="00D36B0A" w:rsidRDefault="00424D9F" w:rsidP="00D36B0A">
      <w:r>
        <w:rPr>
          <w:noProof/>
          <w:lang w:eastAsia="en-AU"/>
        </w:rPr>
        <w:drawing>
          <wp:inline distT="0" distB="0" distL="0" distR="0" wp14:anchorId="613DB782">
            <wp:extent cx="2751827" cy="1751162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92" cy="1754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B0A" w:rsidRPr="001006E3" w:rsidRDefault="00D36B0A" w:rsidP="00D36B0A">
      <w:pPr>
        <w:rPr>
          <w:szCs w:val="22"/>
        </w:rPr>
      </w:pPr>
    </w:p>
    <w:p w:rsidR="00D36B0A" w:rsidRDefault="00D36B0A" w:rsidP="00572CD3">
      <w:pPr>
        <w:autoSpaceDE w:val="0"/>
        <w:autoSpaceDN w:val="0"/>
        <w:adjustRightInd w:val="0"/>
        <w:textAlignment w:val="center"/>
        <w:rPr>
          <w:b/>
          <w:bCs/>
          <w:color w:val="943634"/>
          <w:szCs w:val="22"/>
        </w:rPr>
      </w:pPr>
      <w:r w:rsidRPr="00955E77">
        <w:rPr>
          <w:b/>
          <w:bCs/>
          <w:color w:val="943634"/>
          <w:szCs w:val="22"/>
        </w:rPr>
        <w:t>Sector</w:t>
      </w:r>
      <w:r w:rsidR="00C33D32">
        <w:rPr>
          <w:b/>
          <w:bCs/>
          <w:color w:val="943634"/>
          <w:szCs w:val="22"/>
        </w:rPr>
        <w:t xml:space="preserve"> </w:t>
      </w:r>
      <w:r w:rsidRPr="00955E77">
        <w:rPr>
          <w:b/>
          <w:bCs/>
          <w:color w:val="943634"/>
          <w:szCs w:val="22"/>
        </w:rPr>
        <w:t>Exposure</w:t>
      </w:r>
    </w:p>
    <w:p w:rsidR="00C33D32" w:rsidRDefault="00C33D32" w:rsidP="00572CD3">
      <w:pPr>
        <w:autoSpaceDE w:val="0"/>
        <w:autoSpaceDN w:val="0"/>
        <w:adjustRightInd w:val="0"/>
        <w:textAlignment w:val="center"/>
        <w:rPr>
          <w:b/>
          <w:bCs/>
          <w:color w:val="943634"/>
          <w:szCs w:val="22"/>
        </w:rPr>
      </w:pPr>
    </w:p>
    <w:p w:rsidR="00C33D32" w:rsidRDefault="00424D9F" w:rsidP="00C33D32">
      <w:pPr>
        <w:pStyle w:val="Body"/>
      </w:pPr>
      <w:r>
        <w:rPr>
          <w:noProof/>
          <w:lang w:val="en-AU" w:eastAsia="en-AU"/>
        </w:rPr>
        <w:drawing>
          <wp:inline distT="0" distB="0" distL="0" distR="0" wp14:anchorId="23F676FE">
            <wp:extent cx="2751827" cy="1846053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79" cy="184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1" w:name="_GoBack"/>
    <w:bookmarkEnd w:id="1"/>
    <w:p w:rsidR="00D36B0A" w:rsidRPr="002B2E67" w:rsidRDefault="00461DC6" w:rsidP="00C33D32">
      <w:pPr>
        <w:pStyle w:val="Body"/>
      </w:pPr>
      <w:r>
        <w:rPr>
          <w:b/>
          <w:bCs/>
          <w:noProof/>
          <w:color w:val="94363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102870</wp:posOffset>
                </wp:positionV>
                <wp:extent cx="2786380" cy="701675"/>
                <wp:effectExtent l="1905" t="0" r="254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7016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CA0" w:rsidRPr="00FF5D39" w:rsidRDefault="00294CA0" w:rsidP="008C6A2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F5D39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NEED FURTHER INFORMATION?</w:t>
                            </w:r>
                          </w:p>
                          <w:p w:rsidR="00294CA0" w:rsidRPr="00041714" w:rsidRDefault="00294CA0" w:rsidP="008C6A2D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F5D39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For further information on how we manage your funds please visit the FIC website at www.fundsincourt.vic.gov.au or call 1300 039 390 to speak to a member of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.15pt;margin-top:8.1pt;width:219.4pt;height: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" fillcolor="maroon" stroked="f">
                <v:textbox>
                  <w:txbxContent>
                    <w:p w:rsidR="00294CA0" w:rsidRPr="00FF5D39" w:rsidRDefault="00294CA0" w:rsidP="008C6A2D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FF5D39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NEED FURTHER INFORMATION?</w:t>
                      </w:r>
                    </w:p>
                    <w:p w:rsidR="00294CA0" w:rsidRPr="00041714" w:rsidRDefault="00294CA0" w:rsidP="008C6A2D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FF5D39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For further information on how we manage your funds please visit the FIC website at www.fundsincourt.vic.gov.au or call 1300 039 390 to speak to a member of staff.</w:t>
                      </w:r>
                    </w:p>
                  </w:txbxContent>
                </v:textbox>
              </v:rect>
            </w:pict>
          </mc:Fallback>
        </mc:AlternateContent>
      </w:r>
      <w:r w:rsidR="00D36B0A">
        <w:br w:type="column"/>
      </w:r>
      <w:bookmarkEnd w:id="0"/>
      <w:r w:rsidR="008E1B25" w:rsidRPr="00A412DB">
        <w:rPr>
          <w:rFonts w:cs="Arial"/>
          <w:b/>
          <w:bCs/>
          <w:color w:val="971E32"/>
          <w:spacing w:val="-5"/>
          <w:kern w:val="28"/>
          <w:szCs w:val="22"/>
        </w:rPr>
        <w:lastRenderedPageBreak/>
        <w:t xml:space="preserve">Interest </w:t>
      </w:r>
      <w:r w:rsidR="00D36B0A" w:rsidRPr="00A412DB">
        <w:rPr>
          <w:rFonts w:cs="Arial"/>
          <w:b/>
          <w:bCs/>
          <w:color w:val="971E32"/>
          <w:spacing w:val="-5"/>
          <w:kern w:val="28"/>
          <w:szCs w:val="22"/>
        </w:rPr>
        <w:t>&amp; Crediting Rate</w:t>
      </w:r>
      <w:r w:rsidR="00A73539">
        <w:rPr>
          <w:rFonts w:cs="Arial"/>
          <w:b/>
          <w:bCs/>
          <w:caps/>
          <w:color w:val="971E32"/>
          <w:szCs w:val="22"/>
        </w:rPr>
        <w:t xml:space="preserve"> </w:t>
      </w:r>
    </w:p>
    <w:p w:rsidR="00D36B0A" w:rsidRPr="007F19AC" w:rsidRDefault="00D36B0A" w:rsidP="005462E6">
      <w:pPr>
        <w:spacing w:before="100" w:beforeAutospacing="1"/>
        <w:rPr>
          <w:bCs/>
          <w:color w:val="auto"/>
        </w:rPr>
      </w:pPr>
      <w:r w:rsidRPr="00970E66">
        <w:rPr>
          <w:bCs/>
          <w:color w:val="auto"/>
        </w:rPr>
        <w:t xml:space="preserve">Interest earned by CF-2 is accrued daily and credited </w:t>
      </w:r>
      <w:r w:rsidR="00B8602E" w:rsidRPr="00970E66">
        <w:rPr>
          <w:bCs/>
          <w:color w:val="auto"/>
        </w:rPr>
        <w:t xml:space="preserve">annually </w:t>
      </w:r>
      <w:r w:rsidRPr="00970E66">
        <w:rPr>
          <w:bCs/>
          <w:color w:val="auto"/>
        </w:rPr>
        <w:t>to the ac</w:t>
      </w:r>
      <w:r w:rsidR="00B8602E" w:rsidRPr="00970E66">
        <w:rPr>
          <w:bCs/>
          <w:color w:val="auto"/>
        </w:rPr>
        <w:t xml:space="preserve">count of beneficiaries </w:t>
      </w:r>
      <w:r w:rsidRPr="00970E66">
        <w:rPr>
          <w:bCs/>
          <w:color w:val="auto"/>
        </w:rPr>
        <w:t xml:space="preserve">(normally on or around 1 June). The crediting rate is determined </w:t>
      </w:r>
      <w:r w:rsidR="00507DE5" w:rsidRPr="00970E66">
        <w:rPr>
          <w:bCs/>
          <w:color w:val="auto"/>
        </w:rPr>
        <w:t xml:space="preserve">by </w:t>
      </w:r>
      <w:r w:rsidRPr="00970E66">
        <w:rPr>
          <w:bCs/>
          <w:color w:val="auto"/>
        </w:rPr>
        <w:t xml:space="preserve">the total </w:t>
      </w:r>
      <w:r w:rsidR="009B51BD" w:rsidRPr="00970E66">
        <w:rPr>
          <w:bCs/>
          <w:color w:val="auto"/>
        </w:rPr>
        <w:t xml:space="preserve">gross </w:t>
      </w:r>
      <w:r w:rsidRPr="00970E66">
        <w:rPr>
          <w:bCs/>
          <w:color w:val="auto"/>
        </w:rPr>
        <w:t xml:space="preserve">income earned </w:t>
      </w:r>
      <w:r w:rsidR="00707112">
        <w:rPr>
          <w:bCs/>
          <w:color w:val="auto"/>
        </w:rPr>
        <w:t>from</w:t>
      </w:r>
      <w:r w:rsidRPr="00970E66">
        <w:rPr>
          <w:bCs/>
          <w:color w:val="auto"/>
        </w:rPr>
        <w:t xml:space="preserve"> CF-2</w:t>
      </w:r>
      <w:r w:rsidR="00707112">
        <w:rPr>
          <w:bCs/>
          <w:color w:val="auto"/>
        </w:rPr>
        <w:t xml:space="preserve"> investments</w:t>
      </w:r>
      <w:r w:rsidRPr="00970E66">
        <w:rPr>
          <w:bCs/>
          <w:color w:val="auto"/>
        </w:rPr>
        <w:t xml:space="preserve"> over the preceding 12 month period ending 31 May, less</w:t>
      </w:r>
      <w:r w:rsidR="009B51BD" w:rsidRPr="00970E66">
        <w:rPr>
          <w:bCs/>
          <w:color w:val="auto"/>
        </w:rPr>
        <w:t>,</w:t>
      </w:r>
      <w:r w:rsidRPr="00970E66">
        <w:rPr>
          <w:bCs/>
          <w:color w:val="auto"/>
        </w:rPr>
        <w:t xml:space="preserve"> the partial recoup of office o</w:t>
      </w:r>
      <w:r w:rsidR="00707112">
        <w:rPr>
          <w:bCs/>
          <w:color w:val="auto"/>
        </w:rPr>
        <w:t xml:space="preserve">perating costs. </w:t>
      </w:r>
      <w:r w:rsidR="00707112" w:rsidRPr="0031248C">
        <w:rPr>
          <w:bCs/>
          <w:color w:val="auto"/>
        </w:rPr>
        <w:t xml:space="preserve">An interim rate </w:t>
      </w:r>
      <w:r w:rsidRPr="0031248C">
        <w:rPr>
          <w:bCs/>
          <w:color w:val="auto"/>
        </w:rPr>
        <w:t>equivalent to the Reserve Bank o</w:t>
      </w:r>
      <w:r w:rsidR="0031248C" w:rsidRPr="0031248C">
        <w:rPr>
          <w:bCs/>
          <w:color w:val="auto"/>
        </w:rPr>
        <w:t>f Australia official cash rate was</w:t>
      </w:r>
      <w:r w:rsidRPr="0031248C">
        <w:rPr>
          <w:bCs/>
          <w:color w:val="auto"/>
        </w:rPr>
        <w:t xml:space="preserve"> credited to the account of beneficiaries</w:t>
      </w:r>
      <w:r w:rsidR="009B51BD" w:rsidRPr="0031248C">
        <w:rPr>
          <w:bCs/>
          <w:color w:val="auto"/>
        </w:rPr>
        <w:t xml:space="preserve"> if </w:t>
      </w:r>
      <w:r w:rsidR="005B0F99" w:rsidRPr="0031248C">
        <w:rPr>
          <w:bCs/>
          <w:color w:val="auto"/>
        </w:rPr>
        <w:t xml:space="preserve">their </w:t>
      </w:r>
      <w:r w:rsidR="009B51BD" w:rsidRPr="0031248C">
        <w:rPr>
          <w:bCs/>
          <w:color w:val="auto"/>
        </w:rPr>
        <w:t xml:space="preserve">funds </w:t>
      </w:r>
      <w:r w:rsidR="0031248C" w:rsidRPr="0031248C">
        <w:rPr>
          <w:bCs/>
          <w:color w:val="auto"/>
        </w:rPr>
        <w:t>were</w:t>
      </w:r>
      <w:r w:rsidR="009B51BD" w:rsidRPr="0031248C">
        <w:rPr>
          <w:bCs/>
          <w:color w:val="auto"/>
        </w:rPr>
        <w:t xml:space="preserve"> paid out of C</w:t>
      </w:r>
      <w:r w:rsidRPr="0031248C">
        <w:rPr>
          <w:bCs/>
          <w:color w:val="auto"/>
        </w:rPr>
        <w:t xml:space="preserve">ourt during the </w:t>
      </w:r>
      <w:r w:rsidR="008E7BA8" w:rsidRPr="0031248C">
        <w:rPr>
          <w:bCs/>
          <w:color w:val="auto"/>
        </w:rPr>
        <w:t>year.</w:t>
      </w:r>
    </w:p>
    <w:p w:rsidR="00D36B0A" w:rsidRPr="00970E66" w:rsidRDefault="00D36B0A" w:rsidP="00D66C17">
      <w:pPr>
        <w:rPr>
          <w:bCs/>
          <w:color w:val="auto"/>
        </w:rPr>
      </w:pPr>
    </w:p>
    <w:p w:rsidR="00D36B0A" w:rsidRPr="00970E66" w:rsidRDefault="00D36B0A" w:rsidP="00D66C17">
      <w:pPr>
        <w:rPr>
          <w:bCs/>
          <w:color w:val="auto"/>
        </w:rPr>
      </w:pPr>
      <w:r w:rsidRPr="00970E66">
        <w:rPr>
          <w:bCs/>
          <w:color w:val="auto"/>
        </w:rPr>
        <w:t xml:space="preserve">Since 2011, two separate annual crediting </w:t>
      </w:r>
      <w:proofErr w:type="gramStart"/>
      <w:r w:rsidRPr="00970E66">
        <w:rPr>
          <w:bCs/>
          <w:color w:val="auto"/>
        </w:rPr>
        <w:t>rates</w:t>
      </w:r>
      <w:proofErr w:type="gramEnd"/>
      <w:r w:rsidRPr="00970E66">
        <w:rPr>
          <w:bCs/>
          <w:color w:val="auto"/>
        </w:rPr>
        <w:t xml:space="preserve"> have been declared for CF-2</w:t>
      </w:r>
      <w:r w:rsidR="00FB474C" w:rsidRPr="00970E66">
        <w:rPr>
          <w:bCs/>
          <w:color w:val="auto"/>
        </w:rPr>
        <w:t xml:space="preserve">. </w:t>
      </w:r>
      <w:r w:rsidR="009B51BD" w:rsidRPr="00970E66">
        <w:rPr>
          <w:bCs/>
          <w:color w:val="auto"/>
        </w:rPr>
        <w:t>This means that b</w:t>
      </w:r>
      <w:r w:rsidRPr="00970E66">
        <w:rPr>
          <w:bCs/>
          <w:color w:val="auto"/>
        </w:rPr>
        <w:t xml:space="preserve">eneficiaries with </w:t>
      </w:r>
      <w:r w:rsidR="00707112">
        <w:rPr>
          <w:bCs/>
          <w:color w:val="auto"/>
        </w:rPr>
        <w:t>funds invested</w:t>
      </w:r>
      <w:r w:rsidR="009B51BD" w:rsidRPr="00970E66">
        <w:rPr>
          <w:bCs/>
          <w:color w:val="auto"/>
        </w:rPr>
        <w:t xml:space="preserve"> in </w:t>
      </w:r>
      <w:r w:rsidR="00D66C17" w:rsidRPr="00970E66">
        <w:rPr>
          <w:bCs/>
          <w:color w:val="auto"/>
        </w:rPr>
        <w:t xml:space="preserve">both CF-2 and Common Fund No. </w:t>
      </w:r>
      <w:r w:rsidRPr="00970E66">
        <w:rPr>
          <w:bCs/>
          <w:color w:val="auto"/>
        </w:rPr>
        <w:t>3 [CF-3]</w:t>
      </w:r>
      <w:r w:rsidR="009B51BD" w:rsidRPr="00970E66">
        <w:rPr>
          <w:bCs/>
          <w:color w:val="auto"/>
        </w:rPr>
        <w:t xml:space="preserve"> are </w:t>
      </w:r>
      <w:r w:rsidR="00707112">
        <w:rPr>
          <w:bCs/>
          <w:color w:val="auto"/>
        </w:rPr>
        <w:t xml:space="preserve">paid </w:t>
      </w:r>
      <w:r w:rsidR="009B51BD" w:rsidRPr="00970E66">
        <w:rPr>
          <w:bCs/>
          <w:color w:val="auto"/>
        </w:rPr>
        <w:t xml:space="preserve">a CF-2 </w:t>
      </w:r>
      <w:r w:rsidR="00707112">
        <w:rPr>
          <w:bCs/>
          <w:color w:val="auto"/>
        </w:rPr>
        <w:t xml:space="preserve">crediting </w:t>
      </w:r>
      <w:r w:rsidR="009B51BD" w:rsidRPr="00970E66">
        <w:rPr>
          <w:bCs/>
          <w:color w:val="auto"/>
        </w:rPr>
        <w:t>rate, that</w:t>
      </w:r>
      <w:r w:rsidRPr="00970E66">
        <w:rPr>
          <w:bCs/>
          <w:color w:val="auto"/>
        </w:rPr>
        <w:t xml:space="preserve"> </w:t>
      </w:r>
      <w:r w:rsidR="009B51BD" w:rsidRPr="00970E66">
        <w:rPr>
          <w:bCs/>
          <w:color w:val="auto"/>
        </w:rPr>
        <w:t xml:space="preserve">is, </w:t>
      </w:r>
      <w:r w:rsidRPr="00970E66">
        <w:rPr>
          <w:bCs/>
          <w:color w:val="auto"/>
        </w:rPr>
        <w:t>0.20%</w:t>
      </w:r>
      <w:r w:rsidR="009B51BD" w:rsidRPr="00970E66">
        <w:rPr>
          <w:bCs/>
          <w:color w:val="auto"/>
        </w:rPr>
        <w:t xml:space="preserve"> p.a.</w:t>
      </w:r>
      <w:r w:rsidRPr="00970E66">
        <w:rPr>
          <w:bCs/>
          <w:color w:val="auto"/>
        </w:rPr>
        <w:t xml:space="preserve"> less than the crediting rate </w:t>
      </w:r>
      <w:r w:rsidR="009B51BD" w:rsidRPr="00970E66">
        <w:rPr>
          <w:bCs/>
          <w:color w:val="auto"/>
        </w:rPr>
        <w:t xml:space="preserve">declared </w:t>
      </w:r>
      <w:r w:rsidRPr="00970E66">
        <w:rPr>
          <w:bCs/>
          <w:color w:val="auto"/>
        </w:rPr>
        <w:t xml:space="preserve">for beneficiaries </w:t>
      </w:r>
      <w:r w:rsidR="009B51BD" w:rsidRPr="00970E66">
        <w:rPr>
          <w:bCs/>
          <w:color w:val="auto"/>
        </w:rPr>
        <w:t>invest</w:t>
      </w:r>
      <w:r w:rsidR="00707112">
        <w:rPr>
          <w:bCs/>
          <w:color w:val="auto"/>
        </w:rPr>
        <w:t>ed only</w:t>
      </w:r>
      <w:r w:rsidR="009B51BD" w:rsidRPr="00970E66">
        <w:rPr>
          <w:bCs/>
          <w:color w:val="auto"/>
        </w:rPr>
        <w:t xml:space="preserve"> in </w:t>
      </w:r>
      <w:r w:rsidR="00707112">
        <w:rPr>
          <w:bCs/>
          <w:color w:val="auto"/>
        </w:rPr>
        <w:t>CF-2</w:t>
      </w:r>
      <w:r w:rsidRPr="00970E66">
        <w:rPr>
          <w:bCs/>
          <w:color w:val="auto"/>
        </w:rPr>
        <w:t xml:space="preserve">. </w:t>
      </w:r>
      <w:r w:rsidR="00FB474C" w:rsidRPr="00970E66">
        <w:rPr>
          <w:bCs/>
          <w:color w:val="auto"/>
        </w:rPr>
        <w:t xml:space="preserve">This </w:t>
      </w:r>
      <w:r w:rsidR="003C3933" w:rsidRPr="00970E66">
        <w:rPr>
          <w:bCs/>
          <w:color w:val="auto"/>
        </w:rPr>
        <w:t xml:space="preserve">approach </w:t>
      </w:r>
      <w:r w:rsidR="00FB474C" w:rsidRPr="00970E66">
        <w:rPr>
          <w:bCs/>
          <w:color w:val="auto"/>
        </w:rPr>
        <w:t>help</w:t>
      </w:r>
      <w:r w:rsidR="005B0F99" w:rsidRPr="00970E66">
        <w:rPr>
          <w:bCs/>
          <w:color w:val="auto"/>
        </w:rPr>
        <w:t>s to</w:t>
      </w:r>
      <w:r w:rsidR="00FB474C" w:rsidRPr="00970E66">
        <w:rPr>
          <w:bCs/>
          <w:color w:val="auto"/>
        </w:rPr>
        <w:t xml:space="preserve"> cover the costs of administering CF-3.</w:t>
      </w:r>
    </w:p>
    <w:p w:rsidR="00FB474C" w:rsidRPr="00970E66" w:rsidRDefault="00FB474C" w:rsidP="00D66C17">
      <w:pPr>
        <w:rPr>
          <w:bCs/>
          <w:color w:val="auto"/>
        </w:rPr>
      </w:pPr>
    </w:p>
    <w:p w:rsidR="0093339D" w:rsidRPr="00721FC0" w:rsidRDefault="004C5EFA" w:rsidP="00D66C17">
      <w:pPr>
        <w:rPr>
          <w:rFonts w:cs="Arial"/>
          <w:szCs w:val="22"/>
        </w:rPr>
      </w:pPr>
      <w:r w:rsidRPr="00970E66">
        <w:rPr>
          <w:bCs/>
          <w:color w:val="auto"/>
        </w:rPr>
        <w:t>For the 1</w:t>
      </w:r>
      <w:r w:rsidR="00B90D18">
        <w:rPr>
          <w:bCs/>
          <w:color w:val="auto"/>
        </w:rPr>
        <w:t>2</w:t>
      </w:r>
      <w:r w:rsidR="005A6F70">
        <w:rPr>
          <w:bCs/>
          <w:color w:val="auto"/>
        </w:rPr>
        <w:t xml:space="preserve"> month period ending 31 May 202</w:t>
      </w:r>
      <w:r w:rsidR="005F1F13">
        <w:rPr>
          <w:bCs/>
          <w:color w:val="auto"/>
        </w:rPr>
        <w:t>2</w:t>
      </w:r>
      <w:r w:rsidRPr="00970E66">
        <w:rPr>
          <w:bCs/>
          <w:color w:val="auto"/>
        </w:rPr>
        <w:t xml:space="preserve">, </w:t>
      </w:r>
      <w:r w:rsidR="00B8602E" w:rsidRPr="00970E66">
        <w:rPr>
          <w:bCs/>
          <w:color w:val="auto"/>
        </w:rPr>
        <w:t xml:space="preserve">the gross interest </w:t>
      </w:r>
      <w:r w:rsidR="00955E77" w:rsidRPr="00970E66">
        <w:rPr>
          <w:bCs/>
          <w:color w:val="auto"/>
        </w:rPr>
        <w:t xml:space="preserve">return of </w:t>
      </w:r>
      <w:r w:rsidR="00B8602E" w:rsidRPr="00970E66">
        <w:rPr>
          <w:bCs/>
          <w:color w:val="auto"/>
        </w:rPr>
        <w:t xml:space="preserve">CF-2 was </w:t>
      </w:r>
      <w:r w:rsidR="00172D07">
        <w:rPr>
          <w:bCs/>
          <w:color w:val="auto"/>
        </w:rPr>
        <w:t>2.84</w:t>
      </w:r>
      <w:r w:rsidR="00B8602E" w:rsidRPr="006B21D1">
        <w:rPr>
          <w:bCs/>
          <w:color w:val="auto"/>
        </w:rPr>
        <w:t>%.</w:t>
      </w:r>
      <w:r w:rsidR="00B8602E" w:rsidRPr="00970E66">
        <w:rPr>
          <w:bCs/>
          <w:color w:val="auto"/>
        </w:rPr>
        <w:t xml:space="preserve"> Following the deduction of office operating costs a</w:t>
      </w:r>
      <w:r w:rsidR="007431A1">
        <w:rPr>
          <w:bCs/>
          <w:color w:val="auto"/>
        </w:rPr>
        <w:t xml:space="preserve">n annual </w:t>
      </w:r>
      <w:r w:rsidRPr="00970E66">
        <w:rPr>
          <w:bCs/>
          <w:color w:val="auto"/>
        </w:rPr>
        <w:t xml:space="preserve">crediting rate of </w:t>
      </w:r>
      <w:r w:rsidR="005F1F13">
        <w:rPr>
          <w:bCs/>
          <w:color w:val="auto"/>
        </w:rPr>
        <w:t>1.6</w:t>
      </w:r>
      <w:r w:rsidR="005A6F70">
        <w:rPr>
          <w:bCs/>
          <w:color w:val="auto"/>
        </w:rPr>
        <w:t>5</w:t>
      </w:r>
      <w:r w:rsidRPr="00970E66">
        <w:rPr>
          <w:bCs/>
          <w:color w:val="auto"/>
        </w:rPr>
        <w:t>%</w:t>
      </w:r>
      <w:r w:rsidR="001B7CDC" w:rsidRPr="00970E66">
        <w:rPr>
          <w:bCs/>
          <w:color w:val="auto"/>
        </w:rPr>
        <w:t xml:space="preserve"> </w:t>
      </w:r>
      <w:r w:rsidRPr="00970E66">
        <w:rPr>
          <w:bCs/>
          <w:color w:val="auto"/>
        </w:rPr>
        <w:t xml:space="preserve">was declared for beneficiaries invested in CF-2 only, and </w:t>
      </w:r>
      <w:r w:rsidR="005F1F13">
        <w:rPr>
          <w:bCs/>
          <w:color w:val="auto"/>
        </w:rPr>
        <w:t>1.4</w:t>
      </w:r>
      <w:r w:rsidR="005A6F70">
        <w:rPr>
          <w:bCs/>
          <w:color w:val="auto"/>
        </w:rPr>
        <w:t>5</w:t>
      </w:r>
      <w:r w:rsidRPr="00970E66">
        <w:rPr>
          <w:bCs/>
          <w:color w:val="auto"/>
        </w:rPr>
        <w:t>%</w:t>
      </w:r>
      <w:r w:rsidR="001B7CDC" w:rsidRPr="00970E66">
        <w:rPr>
          <w:bCs/>
          <w:color w:val="auto"/>
        </w:rPr>
        <w:t xml:space="preserve"> </w:t>
      </w:r>
      <w:r w:rsidRPr="00970E66">
        <w:rPr>
          <w:bCs/>
          <w:color w:val="auto"/>
        </w:rPr>
        <w:t>for beneficiaries invested in both CF-2 and CF-3 as at 1 June 2</w:t>
      </w:r>
      <w:r w:rsidR="005A6F70">
        <w:rPr>
          <w:bCs/>
          <w:color w:val="auto"/>
        </w:rPr>
        <w:t>02</w:t>
      </w:r>
      <w:r w:rsidR="005F1F13">
        <w:rPr>
          <w:bCs/>
          <w:color w:val="auto"/>
        </w:rPr>
        <w:t>1</w:t>
      </w:r>
      <w:r w:rsidRPr="00970E66">
        <w:rPr>
          <w:bCs/>
          <w:color w:val="auto"/>
        </w:rPr>
        <w:t>.</w:t>
      </w:r>
      <w:r w:rsidR="00721FC0" w:rsidRPr="00970E66">
        <w:rPr>
          <w:bCs/>
          <w:color w:val="auto"/>
        </w:rPr>
        <w:t xml:space="preserve"> </w:t>
      </w:r>
      <w:r w:rsidR="008E7BA8" w:rsidRPr="00970E66">
        <w:rPr>
          <w:bCs/>
          <w:color w:val="auto"/>
        </w:rPr>
        <w:t>T</w:t>
      </w:r>
      <w:r w:rsidR="00C94F36">
        <w:rPr>
          <w:bCs/>
          <w:color w:val="auto"/>
        </w:rPr>
        <w:t>he</w:t>
      </w:r>
      <w:r w:rsidR="001B7CDC" w:rsidRPr="00970E66">
        <w:rPr>
          <w:bCs/>
          <w:color w:val="auto"/>
        </w:rPr>
        <w:t xml:space="preserve"> </w:t>
      </w:r>
      <w:r w:rsidR="00C94F36">
        <w:rPr>
          <w:bCs/>
          <w:color w:val="auto"/>
        </w:rPr>
        <w:t xml:space="preserve">gross </w:t>
      </w:r>
      <w:r w:rsidR="001B7CDC" w:rsidRPr="00970E66">
        <w:rPr>
          <w:bCs/>
          <w:color w:val="auto"/>
        </w:rPr>
        <w:t>earnin</w:t>
      </w:r>
      <w:r w:rsidR="008E7BA8" w:rsidRPr="00970E66">
        <w:rPr>
          <w:bCs/>
          <w:color w:val="auto"/>
        </w:rPr>
        <w:t>gs</w:t>
      </w:r>
      <w:r w:rsidR="00C94F36">
        <w:rPr>
          <w:bCs/>
          <w:color w:val="auto"/>
        </w:rPr>
        <w:t xml:space="preserve"> rate</w:t>
      </w:r>
      <w:r w:rsidR="00B97D86">
        <w:rPr>
          <w:bCs/>
          <w:color w:val="auto"/>
        </w:rPr>
        <w:t xml:space="preserve">, </w:t>
      </w:r>
      <w:r w:rsidR="00C94F36">
        <w:rPr>
          <w:bCs/>
          <w:color w:val="auto"/>
        </w:rPr>
        <w:t>crediting rate</w:t>
      </w:r>
      <w:r w:rsidR="008E7BA8" w:rsidRPr="00970E66">
        <w:rPr>
          <w:bCs/>
          <w:color w:val="auto"/>
        </w:rPr>
        <w:t xml:space="preserve"> for CF-2</w:t>
      </w:r>
      <w:r w:rsidR="00B97D86">
        <w:rPr>
          <w:bCs/>
          <w:color w:val="auto"/>
        </w:rPr>
        <w:t xml:space="preserve"> and RBA Cash Rate</w:t>
      </w:r>
      <w:r w:rsidR="00721FC0" w:rsidRPr="00970E66">
        <w:rPr>
          <w:bCs/>
          <w:color w:val="auto"/>
        </w:rPr>
        <w:t xml:space="preserve"> over the last five years</w:t>
      </w:r>
      <w:r w:rsidR="008E7BA8" w:rsidRPr="00970E66">
        <w:rPr>
          <w:bCs/>
          <w:color w:val="auto"/>
        </w:rPr>
        <w:t xml:space="preserve"> </w:t>
      </w:r>
      <w:proofErr w:type="gramStart"/>
      <w:r w:rsidR="00B97D86">
        <w:rPr>
          <w:bCs/>
          <w:color w:val="auto"/>
        </w:rPr>
        <w:t>are</w:t>
      </w:r>
      <w:proofErr w:type="gramEnd"/>
      <w:r w:rsidR="00B97D86">
        <w:rPr>
          <w:bCs/>
          <w:color w:val="auto"/>
        </w:rPr>
        <w:t xml:space="preserve"> </w:t>
      </w:r>
      <w:r w:rsidR="00C94F36">
        <w:rPr>
          <w:bCs/>
          <w:color w:val="auto"/>
        </w:rPr>
        <w:t>shown</w:t>
      </w:r>
      <w:r w:rsidR="008635C5" w:rsidRPr="00970E66">
        <w:rPr>
          <w:bCs/>
          <w:color w:val="auto"/>
        </w:rPr>
        <w:t xml:space="preserve"> below.</w:t>
      </w:r>
      <w:r>
        <w:rPr>
          <w:rFonts w:cs="Arial"/>
        </w:rPr>
        <w:t xml:space="preserve"> </w:t>
      </w:r>
    </w:p>
    <w:p w:rsidR="00BF5470" w:rsidRDefault="00BF5470" w:rsidP="00BF5470"/>
    <w:p w:rsidR="00AD4B76" w:rsidRDefault="00AD4B76" w:rsidP="00BF5470">
      <w:r w:rsidRPr="003560D1">
        <w:rPr>
          <w:b/>
          <w:bCs/>
          <w:color w:val="943634"/>
          <w:szCs w:val="22"/>
        </w:rPr>
        <w:t>Annual Crediting Rate</w:t>
      </w:r>
      <w:r>
        <w:rPr>
          <w:b/>
          <w:bCs/>
          <w:color w:val="943634"/>
          <w:szCs w:val="22"/>
        </w:rPr>
        <w:t xml:space="preserve"> </w:t>
      </w:r>
    </w:p>
    <w:p w:rsidR="00AD4B76" w:rsidRDefault="00AD4B76" w:rsidP="00BF5470"/>
    <w:p w:rsidR="00AD4B76" w:rsidRDefault="00172D07" w:rsidP="00BF5470">
      <w:r>
        <w:rPr>
          <w:noProof/>
          <w:lang w:eastAsia="en-AU"/>
        </w:rPr>
        <w:drawing>
          <wp:inline distT="0" distB="0" distL="0" distR="0" wp14:anchorId="5E54A29D" wp14:editId="6FEF4C1B">
            <wp:extent cx="3610939" cy="1863306"/>
            <wp:effectExtent l="0" t="0" r="889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008" cy="186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5470" w:rsidRPr="001812AA" w:rsidRDefault="00BF5470" w:rsidP="00BF5470">
      <w:pPr>
        <w:rPr>
          <w:b/>
        </w:rPr>
      </w:pPr>
    </w:p>
    <w:p w:rsidR="00D36B0A" w:rsidRPr="0093339D" w:rsidRDefault="0093339D" w:rsidP="00D36B0A">
      <w:pPr>
        <w:rPr>
          <w:rFonts w:cs="Arial"/>
        </w:rPr>
      </w:pPr>
      <w:r w:rsidRPr="001812AA">
        <w:rPr>
          <w:rFonts w:cs="Arial"/>
          <w:b/>
        </w:rPr>
        <w:br w:type="column"/>
      </w:r>
      <w:r w:rsidR="00D36B0A" w:rsidRPr="001E4F46">
        <w:rPr>
          <w:b/>
          <w:bCs/>
          <w:color w:val="943634"/>
        </w:rPr>
        <w:lastRenderedPageBreak/>
        <w:t>Commentary</w:t>
      </w:r>
    </w:p>
    <w:p w:rsidR="00093153" w:rsidRDefault="00093153" w:rsidP="00D36B0A">
      <w:pPr>
        <w:rPr>
          <w:b/>
          <w:bCs/>
          <w:color w:val="943634"/>
        </w:rPr>
      </w:pPr>
    </w:p>
    <w:p w:rsidR="00437ADA" w:rsidRDefault="00134925" w:rsidP="00D66C17">
      <w:pPr>
        <w:rPr>
          <w:bCs/>
          <w:color w:val="auto"/>
        </w:rPr>
      </w:pPr>
      <w:r w:rsidRPr="00BA62D9">
        <w:rPr>
          <w:bCs/>
          <w:color w:val="auto"/>
        </w:rPr>
        <w:t>The income return</w:t>
      </w:r>
      <w:r w:rsidR="00C44DBC">
        <w:rPr>
          <w:bCs/>
          <w:color w:val="auto"/>
        </w:rPr>
        <w:t xml:space="preserve"> generated by the Fund </w:t>
      </w:r>
      <w:r w:rsidRPr="00BA62D9">
        <w:rPr>
          <w:bCs/>
          <w:color w:val="auto"/>
        </w:rPr>
        <w:t>is linked to the official cash rate as set by the Reserve Bank of Australia</w:t>
      </w:r>
      <w:r w:rsidR="00707112">
        <w:rPr>
          <w:bCs/>
          <w:color w:val="auto"/>
        </w:rPr>
        <w:t xml:space="preserve"> [RBA]</w:t>
      </w:r>
      <w:r w:rsidRPr="00BA62D9">
        <w:rPr>
          <w:bCs/>
          <w:color w:val="auto"/>
        </w:rPr>
        <w:t xml:space="preserve"> as well as bond yields. Both of these measures </w:t>
      </w:r>
      <w:r w:rsidR="008F03E0">
        <w:rPr>
          <w:bCs/>
          <w:color w:val="auto"/>
        </w:rPr>
        <w:t xml:space="preserve">remained at </w:t>
      </w:r>
      <w:r w:rsidRPr="00BA62D9">
        <w:rPr>
          <w:bCs/>
          <w:color w:val="auto"/>
        </w:rPr>
        <w:t xml:space="preserve">historical lows during </w:t>
      </w:r>
      <w:r w:rsidR="004D4E18">
        <w:rPr>
          <w:bCs/>
          <w:color w:val="auto"/>
        </w:rPr>
        <w:t xml:space="preserve">most </w:t>
      </w:r>
      <w:r w:rsidR="001D357F">
        <w:rPr>
          <w:bCs/>
          <w:color w:val="auto"/>
        </w:rPr>
        <w:t xml:space="preserve">of the </w:t>
      </w:r>
      <w:r w:rsidR="00BA62D9" w:rsidRPr="00BA62D9">
        <w:rPr>
          <w:bCs/>
          <w:color w:val="auto"/>
        </w:rPr>
        <w:t>financial year</w:t>
      </w:r>
      <w:r w:rsidR="00437ADA">
        <w:rPr>
          <w:bCs/>
          <w:color w:val="auto"/>
        </w:rPr>
        <w:t xml:space="preserve"> </w:t>
      </w:r>
      <w:r w:rsidR="00E83C8A">
        <w:rPr>
          <w:bCs/>
          <w:color w:val="auto"/>
        </w:rPr>
        <w:t xml:space="preserve">and </w:t>
      </w:r>
      <w:r w:rsidR="00437ADA">
        <w:rPr>
          <w:bCs/>
          <w:color w:val="auto"/>
        </w:rPr>
        <w:t>contribut</w:t>
      </w:r>
      <w:r w:rsidR="00E83C8A">
        <w:rPr>
          <w:bCs/>
          <w:color w:val="auto"/>
        </w:rPr>
        <w:t>ed</w:t>
      </w:r>
      <w:r w:rsidR="00437ADA">
        <w:rPr>
          <w:bCs/>
          <w:color w:val="auto"/>
        </w:rPr>
        <w:t xml:space="preserve"> </w:t>
      </w:r>
      <w:r w:rsidR="009D0A66">
        <w:rPr>
          <w:bCs/>
          <w:color w:val="auto"/>
        </w:rPr>
        <w:t>to the</w:t>
      </w:r>
      <w:r w:rsidR="00707112">
        <w:rPr>
          <w:bCs/>
          <w:color w:val="auto"/>
        </w:rPr>
        <w:t xml:space="preserve"> decline in the </w:t>
      </w:r>
      <w:r w:rsidR="00B92671">
        <w:rPr>
          <w:bCs/>
          <w:color w:val="auto"/>
        </w:rPr>
        <w:t>Fund’s</w:t>
      </w:r>
      <w:r w:rsidR="002F4F51">
        <w:rPr>
          <w:bCs/>
          <w:color w:val="auto"/>
        </w:rPr>
        <w:t xml:space="preserve"> annual</w:t>
      </w:r>
      <w:r w:rsidR="00B92671">
        <w:rPr>
          <w:bCs/>
          <w:color w:val="auto"/>
        </w:rPr>
        <w:t xml:space="preserve"> </w:t>
      </w:r>
      <w:r w:rsidR="00707112">
        <w:rPr>
          <w:bCs/>
          <w:color w:val="auto"/>
        </w:rPr>
        <w:t xml:space="preserve">crediting </w:t>
      </w:r>
      <w:r w:rsidR="002F4F51">
        <w:rPr>
          <w:bCs/>
          <w:color w:val="auto"/>
        </w:rPr>
        <w:t>rate</w:t>
      </w:r>
      <w:r w:rsidR="00E83C8A">
        <w:rPr>
          <w:bCs/>
          <w:color w:val="auto"/>
        </w:rPr>
        <w:t xml:space="preserve"> </w:t>
      </w:r>
      <w:r w:rsidR="005C19FE">
        <w:rPr>
          <w:bCs/>
          <w:color w:val="auto"/>
        </w:rPr>
        <w:t xml:space="preserve">declared on 1 June </w:t>
      </w:r>
      <w:r w:rsidR="008D1156">
        <w:rPr>
          <w:bCs/>
          <w:color w:val="auto"/>
        </w:rPr>
        <w:t>202</w:t>
      </w:r>
      <w:r w:rsidR="001D357F">
        <w:rPr>
          <w:bCs/>
          <w:color w:val="auto"/>
        </w:rPr>
        <w:t>2</w:t>
      </w:r>
      <w:r w:rsidR="00437ADA">
        <w:rPr>
          <w:bCs/>
          <w:color w:val="auto"/>
        </w:rPr>
        <w:t>.</w:t>
      </w:r>
    </w:p>
    <w:p w:rsidR="00134925" w:rsidRPr="005462E6" w:rsidRDefault="00437ADA" w:rsidP="00D66C17">
      <w:pPr>
        <w:rPr>
          <w:bCs/>
          <w:color w:val="auto"/>
        </w:rPr>
      </w:pPr>
      <w:r w:rsidRPr="005462E6">
        <w:rPr>
          <w:bCs/>
          <w:color w:val="auto"/>
        </w:rPr>
        <w:t xml:space="preserve"> </w:t>
      </w:r>
    </w:p>
    <w:p w:rsidR="00A61EED" w:rsidRDefault="004D4E18" w:rsidP="00D66C17">
      <w:pPr>
        <w:rPr>
          <w:bCs/>
          <w:color w:val="auto"/>
        </w:rPr>
      </w:pPr>
      <w:r>
        <w:rPr>
          <w:bCs/>
          <w:color w:val="auto"/>
        </w:rPr>
        <w:t xml:space="preserve">The RBA maintained the </w:t>
      </w:r>
      <w:r w:rsidR="00212227">
        <w:rPr>
          <w:bCs/>
          <w:color w:val="auto"/>
        </w:rPr>
        <w:t xml:space="preserve">official </w:t>
      </w:r>
      <w:r w:rsidR="00A61EED">
        <w:rPr>
          <w:bCs/>
          <w:color w:val="auto"/>
        </w:rPr>
        <w:t xml:space="preserve">cash rate </w:t>
      </w:r>
      <w:r>
        <w:rPr>
          <w:bCs/>
          <w:color w:val="auto"/>
        </w:rPr>
        <w:t>at a h</w:t>
      </w:r>
      <w:r w:rsidR="00725B71">
        <w:rPr>
          <w:bCs/>
          <w:color w:val="auto"/>
        </w:rPr>
        <w:t xml:space="preserve">istorical low of </w:t>
      </w:r>
      <w:r w:rsidR="00A61EED">
        <w:rPr>
          <w:bCs/>
          <w:color w:val="auto"/>
        </w:rPr>
        <w:t>0</w:t>
      </w:r>
      <w:r w:rsidR="005E7AB4">
        <w:rPr>
          <w:bCs/>
          <w:color w:val="auto"/>
        </w:rPr>
        <w:t>.</w:t>
      </w:r>
      <w:r w:rsidR="00A61EED">
        <w:rPr>
          <w:bCs/>
          <w:color w:val="auto"/>
        </w:rPr>
        <w:t>10</w:t>
      </w:r>
      <w:r>
        <w:rPr>
          <w:bCs/>
          <w:color w:val="auto"/>
        </w:rPr>
        <w:t xml:space="preserve">% </w:t>
      </w:r>
      <w:r w:rsidR="00725B71">
        <w:rPr>
          <w:bCs/>
          <w:color w:val="auto"/>
        </w:rPr>
        <w:t xml:space="preserve">throughout the </w:t>
      </w:r>
      <w:r>
        <w:rPr>
          <w:bCs/>
          <w:color w:val="auto"/>
        </w:rPr>
        <w:t xml:space="preserve">majority </w:t>
      </w:r>
      <w:r w:rsidR="00725B71">
        <w:rPr>
          <w:bCs/>
          <w:color w:val="auto"/>
        </w:rPr>
        <w:t xml:space="preserve">of the financial year, in order </w:t>
      </w:r>
      <w:r w:rsidR="00A61EED">
        <w:rPr>
          <w:bCs/>
          <w:color w:val="auto"/>
        </w:rPr>
        <w:t>to support job creation and the recovery of</w:t>
      </w:r>
      <w:r>
        <w:rPr>
          <w:bCs/>
          <w:color w:val="auto"/>
        </w:rPr>
        <w:t xml:space="preserve"> the economy from the pandemic.</w:t>
      </w:r>
      <w:r w:rsidR="0042321D">
        <w:rPr>
          <w:bCs/>
          <w:color w:val="auto"/>
        </w:rPr>
        <w:t xml:space="preserve"> However, towards the middle and end of the financial year, rising </w:t>
      </w:r>
      <w:r w:rsidR="001A7703">
        <w:rPr>
          <w:bCs/>
          <w:color w:val="auto"/>
        </w:rPr>
        <w:t>inflation</w:t>
      </w:r>
      <w:r w:rsidR="0042321D">
        <w:rPr>
          <w:bCs/>
          <w:color w:val="auto"/>
        </w:rPr>
        <w:t xml:space="preserve"> became a concern and to</w:t>
      </w:r>
      <w:r w:rsidR="001A7703">
        <w:rPr>
          <w:bCs/>
          <w:color w:val="auto"/>
        </w:rPr>
        <w:t xml:space="preserve"> try</w:t>
      </w:r>
      <w:r w:rsidR="0042321D">
        <w:rPr>
          <w:bCs/>
          <w:color w:val="auto"/>
        </w:rPr>
        <w:t xml:space="preserve"> </w:t>
      </w:r>
      <w:proofErr w:type="gramStart"/>
      <w:r w:rsidR="0042321D">
        <w:rPr>
          <w:bCs/>
          <w:color w:val="auto"/>
        </w:rPr>
        <w:t>combat</w:t>
      </w:r>
      <w:proofErr w:type="gramEnd"/>
      <w:r w:rsidR="0042321D">
        <w:rPr>
          <w:bCs/>
          <w:color w:val="auto"/>
        </w:rPr>
        <w:t xml:space="preserve"> this, </w:t>
      </w:r>
      <w:r w:rsidR="00D9507C">
        <w:rPr>
          <w:bCs/>
          <w:color w:val="auto"/>
        </w:rPr>
        <w:t xml:space="preserve">in May 2022, </w:t>
      </w:r>
      <w:r w:rsidR="0042321D">
        <w:rPr>
          <w:bCs/>
          <w:color w:val="auto"/>
        </w:rPr>
        <w:t xml:space="preserve">the RBA lifted </w:t>
      </w:r>
      <w:r w:rsidR="00D9507C">
        <w:rPr>
          <w:bCs/>
          <w:color w:val="auto"/>
        </w:rPr>
        <w:t>the cash rate by 0.25% to 0.35%, and again in June 2022 by 0.50% to 0.85%.</w:t>
      </w:r>
      <w:r w:rsidR="003B76F8">
        <w:rPr>
          <w:bCs/>
          <w:color w:val="auto"/>
        </w:rPr>
        <w:t xml:space="preserve"> </w:t>
      </w:r>
      <w:r w:rsidR="00555E9B">
        <w:rPr>
          <w:bCs/>
          <w:color w:val="auto"/>
        </w:rPr>
        <w:t>The gap</w:t>
      </w:r>
      <w:r w:rsidR="003B76F8">
        <w:rPr>
          <w:bCs/>
          <w:color w:val="auto"/>
        </w:rPr>
        <w:t xml:space="preserve"> between the cash rate to the Fund’s crediting rate</w:t>
      </w:r>
      <w:r w:rsidR="00555E9B">
        <w:rPr>
          <w:bCs/>
          <w:color w:val="auto"/>
        </w:rPr>
        <w:t xml:space="preserve"> will continue to narrow</w:t>
      </w:r>
      <w:r w:rsidR="003B76F8">
        <w:rPr>
          <w:bCs/>
          <w:color w:val="auto"/>
        </w:rPr>
        <w:t>.</w:t>
      </w:r>
    </w:p>
    <w:p w:rsidR="00A61EED" w:rsidRDefault="00A61EED" w:rsidP="00D66C17">
      <w:pPr>
        <w:rPr>
          <w:bCs/>
          <w:color w:val="auto"/>
        </w:rPr>
      </w:pPr>
    </w:p>
    <w:p w:rsidR="005F5F53" w:rsidRPr="005462E6" w:rsidRDefault="008547C4" w:rsidP="00D66C17">
      <w:pPr>
        <w:rPr>
          <w:bCs/>
          <w:color w:val="auto"/>
        </w:rPr>
      </w:pPr>
      <w:r>
        <w:rPr>
          <w:bCs/>
          <w:color w:val="auto"/>
        </w:rPr>
        <w:t>T</w:t>
      </w:r>
      <w:r w:rsidR="000D6EE8">
        <w:rPr>
          <w:bCs/>
          <w:color w:val="auto"/>
        </w:rPr>
        <w:t xml:space="preserve">he 10 year Australian </w:t>
      </w:r>
      <w:r w:rsidR="002F4F51">
        <w:rPr>
          <w:bCs/>
          <w:color w:val="auto"/>
        </w:rPr>
        <w:t xml:space="preserve">Government bond </w:t>
      </w:r>
      <w:r w:rsidR="005E1F2F">
        <w:rPr>
          <w:bCs/>
          <w:color w:val="auto"/>
        </w:rPr>
        <w:t xml:space="preserve">traded at </w:t>
      </w:r>
      <w:r w:rsidR="00250634">
        <w:rPr>
          <w:bCs/>
          <w:color w:val="auto"/>
        </w:rPr>
        <w:t>3.61</w:t>
      </w:r>
      <w:r w:rsidR="00757100">
        <w:rPr>
          <w:bCs/>
          <w:color w:val="auto"/>
        </w:rPr>
        <w:t xml:space="preserve">% </w:t>
      </w:r>
      <w:r w:rsidR="00D71739">
        <w:rPr>
          <w:bCs/>
          <w:color w:val="auto"/>
        </w:rPr>
        <w:t>as at 30 June 202</w:t>
      </w:r>
      <w:r w:rsidR="00250634">
        <w:rPr>
          <w:bCs/>
          <w:color w:val="auto"/>
        </w:rPr>
        <w:t>2</w:t>
      </w:r>
      <w:r w:rsidR="00F70AAA">
        <w:rPr>
          <w:bCs/>
          <w:color w:val="auto"/>
        </w:rPr>
        <w:t xml:space="preserve"> </w:t>
      </w:r>
      <w:r w:rsidR="00757100">
        <w:rPr>
          <w:bCs/>
          <w:color w:val="auto"/>
        </w:rPr>
        <w:t>(</w:t>
      </w:r>
      <w:r w:rsidR="00250634">
        <w:rPr>
          <w:bCs/>
          <w:color w:val="auto"/>
        </w:rPr>
        <w:t>1.53</w:t>
      </w:r>
      <w:r w:rsidR="00DB1549">
        <w:rPr>
          <w:bCs/>
          <w:color w:val="auto"/>
        </w:rPr>
        <w:t>%</w:t>
      </w:r>
      <w:r w:rsidR="003B76F8">
        <w:rPr>
          <w:bCs/>
          <w:color w:val="auto"/>
        </w:rPr>
        <w:t>,</w:t>
      </w:r>
      <w:r w:rsidR="006D4D0E">
        <w:rPr>
          <w:bCs/>
          <w:color w:val="auto"/>
        </w:rPr>
        <w:t xml:space="preserve"> 12 months prior). </w:t>
      </w:r>
      <w:r w:rsidR="00117917">
        <w:rPr>
          <w:bCs/>
          <w:color w:val="auto"/>
        </w:rPr>
        <w:t xml:space="preserve">This yield was relatively steady throughout the first half of the financial year where it hovered between the range of </w:t>
      </w:r>
      <w:r w:rsidR="007C2457">
        <w:rPr>
          <w:bCs/>
          <w:color w:val="auto"/>
        </w:rPr>
        <w:t>1.10</w:t>
      </w:r>
      <w:r w:rsidR="00117917">
        <w:rPr>
          <w:bCs/>
          <w:color w:val="auto"/>
        </w:rPr>
        <w:t>% and 1</w:t>
      </w:r>
      <w:r w:rsidR="007C2457">
        <w:rPr>
          <w:bCs/>
          <w:color w:val="auto"/>
        </w:rPr>
        <w:t>.60</w:t>
      </w:r>
      <w:r w:rsidR="00117917">
        <w:rPr>
          <w:bCs/>
          <w:color w:val="auto"/>
        </w:rPr>
        <w:t xml:space="preserve">%.  </w:t>
      </w:r>
      <w:r w:rsidR="003B76F8">
        <w:rPr>
          <w:bCs/>
          <w:color w:val="auto"/>
        </w:rPr>
        <w:t>T</w:t>
      </w:r>
      <w:r w:rsidR="00117917">
        <w:rPr>
          <w:bCs/>
          <w:color w:val="auto"/>
        </w:rPr>
        <w:t xml:space="preserve">he second half of the financial year was a period of significant volatility in </w:t>
      </w:r>
      <w:r w:rsidR="007C2457">
        <w:rPr>
          <w:bCs/>
          <w:color w:val="auto"/>
        </w:rPr>
        <w:t xml:space="preserve">yields where the </w:t>
      </w:r>
      <w:r w:rsidR="00697CD7">
        <w:rPr>
          <w:bCs/>
          <w:color w:val="auto"/>
        </w:rPr>
        <w:t>10 year yield</w:t>
      </w:r>
      <w:r w:rsidR="00117917">
        <w:rPr>
          <w:bCs/>
          <w:color w:val="auto"/>
        </w:rPr>
        <w:t xml:space="preserve"> increased </w:t>
      </w:r>
      <w:r w:rsidR="00404732">
        <w:rPr>
          <w:bCs/>
          <w:color w:val="auto"/>
        </w:rPr>
        <w:t xml:space="preserve">strongly </w:t>
      </w:r>
      <w:r w:rsidR="00294CA0">
        <w:rPr>
          <w:bCs/>
          <w:color w:val="auto"/>
        </w:rPr>
        <w:t xml:space="preserve">throughout </w:t>
      </w:r>
      <w:r w:rsidR="00697CD7">
        <w:rPr>
          <w:bCs/>
          <w:color w:val="auto"/>
        </w:rPr>
        <w:t>this period</w:t>
      </w:r>
      <w:r w:rsidR="00294CA0">
        <w:rPr>
          <w:bCs/>
          <w:color w:val="auto"/>
        </w:rPr>
        <w:t xml:space="preserve"> to reach levels around 4.10</w:t>
      </w:r>
      <w:r w:rsidR="00117917">
        <w:rPr>
          <w:bCs/>
          <w:color w:val="auto"/>
        </w:rPr>
        <w:t>%</w:t>
      </w:r>
      <w:r w:rsidR="00404732">
        <w:rPr>
          <w:bCs/>
          <w:color w:val="auto"/>
        </w:rPr>
        <w:t xml:space="preserve"> </w:t>
      </w:r>
      <w:r w:rsidR="00294CA0">
        <w:rPr>
          <w:bCs/>
          <w:color w:val="auto"/>
        </w:rPr>
        <w:t xml:space="preserve">in mid June 2022 </w:t>
      </w:r>
      <w:r w:rsidR="00404732">
        <w:rPr>
          <w:bCs/>
          <w:color w:val="auto"/>
        </w:rPr>
        <w:t xml:space="preserve">on concerns of rising inflation expectations which may trigger central banks to </w:t>
      </w:r>
      <w:r w:rsidR="00537C6B">
        <w:rPr>
          <w:bCs/>
          <w:color w:val="auto"/>
        </w:rPr>
        <w:t xml:space="preserve">increase cash rates earlier </w:t>
      </w:r>
      <w:r w:rsidR="00294CA0">
        <w:rPr>
          <w:bCs/>
          <w:color w:val="auto"/>
        </w:rPr>
        <w:t>and larger than expected.</w:t>
      </w:r>
      <w:r w:rsidR="00697CD7">
        <w:rPr>
          <w:bCs/>
          <w:color w:val="auto"/>
        </w:rPr>
        <w:t xml:space="preserve"> T</w:t>
      </w:r>
      <w:r w:rsidR="00771D1C">
        <w:rPr>
          <w:bCs/>
          <w:color w:val="auto"/>
        </w:rPr>
        <w:t xml:space="preserve">he 10 year bond yield </w:t>
      </w:r>
      <w:r w:rsidR="00697CD7">
        <w:rPr>
          <w:bCs/>
          <w:color w:val="auto"/>
        </w:rPr>
        <w:t>decreased</w:t>
      </w:r>
      <w:r w:rsidR="00052884">
        <w:rPr>
          <w:bCs/>
          <w:color w:val="auto"/>
        </w:rPr>
        <w:t xml:space="preserve"> </w:t>
      </w:r>
      <w:r w:rsidR="00697CD7">
        <w:rPr>
          <w:bCs/>
          <w:color w:val="auto"/>
        </w:rPr>
        <w:t xml:space="preserve">slightly </w:t>
      </w:r>
      <w:r w:rsidR="00052884">
        <w:rPr>
          <w:bCs/>
          <w:color w:val="auto"/>
        </w:rPr>
        <w:t xml:space="preserve">from these elevated levels </w:t>
      </w:r>
      <w:r w:rsidR="00697CD7">
        <w:rPr>
          <w:bCs/>
          <w:color w:val="auto"/>
        </w:rPr>
        <w:t xml:space="preserve">by the end </w:t>
      </w:r>
      <w:r w:rsidR="00771D1C">
        <w:rPr>
          <w:bCs/>
          <w:color w:val="auto"/>
        </w:rPr>
        <w:t>of the financial year</w:t>
      </w:r>
    </w:p>
    <w:p w:rsidR="0008240A" w:rsidRPr="005462E6" w:rsidRDefault="0008240A" w:rsidP="00D66C17">
      <w:pPr>
        <w:rPr>
          <w:bCs/>
          <w:color w:val="auto"/>
        </w:rPr>
      </w:pPr>
    </w:p>
    <w:p w:rsidR="00BE25F9" w:rsidRDefault="003865FE" w:rsidP="006B7DE8">
      <w:pPr>
        <w:rPr>
          <w:bCs/>
          <w:color w:val="auto"/>
        </w:rPr>
      </w:pPr>
      <w:r w:rsidRPr="009F739F">
        <w:rPr>
          <w:bCs/>
          <w:color w:val="auto"/>
        </w:rPr>
        <w:t xml:space="preserve">In the </w:t>
      </w:r>
      <w:r w:rsidR="00555E9B">
        <w:rPr>
          <w:bCs/>
          <w:color w:val="auto"/>
        </w:rPr>
        <w:t>current</w:t>
      </w:r>
      <w:r w:rsidR="00771D1C">
        <w:rPr>
          <w:bCs/>
          <w:color w:val="auto"/>
        </w:rPr>
        <w:t xml:space="preserve"> </w:t>
      </w:r>
      <w:r w:rsidRPr="009F739F">
        <w:rPr>
          <w:bCs/>
          <w:color w:val="auto"/>
        </w:rPr>
        <w:t xml:space="preserve">environment we </w:t>
      </w:r>
      <w:r w:rsidR="00212227" w:rsidRPr="009F739F">
        <w:rPr>
          <w:bCs/>
          <w:color w:val="auto"/>
        </w:rPr>
        <w:t>continue to</w:t>
      </w:r>
      <w:r w:rsidRPr="009F739F">
        <w:rPr>
          <w:bCs/>
          <w:color w:val="auto"/>
        </w:rPr>
        <w:t xml:space="preserve"> seek</w:t>
      </w:r>
      <w:r w:rsidR="00212227" w:rsidRPr="009F739F">
        <w:rPr>
          <w:bCs/>
          <w:color w:val="auto"/>
        </w:rPr>
        <w:t xml:space="preserve"> </w:t>
      </w:r>
      <w:r w:rsidRPr="009F739F">
        <w:rPr>
          <w:bCs/>
          <w:color w:val="auto"/>
        </w:rPr>
        <w:t xml:space="preserve">ways to </w:t>
      </w:r>
      <w:r w:rsidR="001762C4">
        <w:rPr>
          <w:bCs/>
          <w:color w:val="auto"/>
        </w:rPr>
        <w:t>maximise</w:t>
      </w:r>
      <w:r w:rsidRPr="009F739F">
        <w:rPr>
          <w:bCs/>
          <w:color w:val="auto"/>
        </w:rPr>
        <w:t xml:space="preserve"> th</w:t>
      </w:r>
      <w:r w:rsidR="00196DED" w:rsidRPr="009F739F">
        <w:rPr>
          <w:bCs/>
          <w:color w:val="auto"/>
        </w:rPr>
        <w:t>e yield of the portfolio without compromising the high quality</w:t>
      </w:r>
      <w:r w:rsidR="003758F2" w:rsidRPr="009F739F">
        <w:rPr>
          <w:bCs/>
          <w:color w:val="auto"/>
        </w:rPr>
        <w:t xml:space="preserve">/ </w:t>
      </w:r>
      <w:r w:rsidR="00196DED" w:rsidRPr="009F739F">
        <w:rPr>
          <w:bCs/>
          <w:color w:val="auto"/>
        </w:rPr>
        <w:t xml:space="preserve">low </w:t>
      </w:r>
      <w:r w:rsidR="00C93E9E" w:rsidRPr="009F739F">
        <w:rPr>
          <w:bCs/>
          <w:color w:val="auto"/>
        </w:rPr>
        <w:t xml:space="preserve">risk nature of the </w:t>
      </w:r>
      <w:r w:rsidR="00756B78">
        <w:rPr>
          <w:bCs/>
          <w:color w:val="auto"/>
        </w:rPr>
        <w:t>Fund.</w:t>
      </w:r>
      <w:r w:rsidR="00C93E9E" w:rsidRPr="009F739F">
        <w:rPr>
          <w:bCs/>
          <w:color w:val="auto"/>
        </w:rPr>
        <w:t xml:space="preserve"> </w:t>
      </w:r>
    </w:p>
    <w:p w:rsidR="0051561D" w:rsidRDefault="00771D1C" w:rsidP="006B7DE8">
      <w:pPr>
        <w:rPr>
          <w:bCs/>
          <w:color w:val="auto"/>
        </w:rPr>
      </w:pPr>
      <w:r>
        <w:rPr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64B61F" wp14:editId="74AB86EB">
                <wp:simplePos x="0" y="0"/>
                <wp:positionH relativeFrom="column">
                  <wp:posOffset>-74295</wp:posOffset>
                </wp:positionH>
                <wp:positionV relativeFrom="paragraph">
                  <wp:posOffset>55245</wp:posOffset>
                </wp:positionV>
                <wp:extent cx="2867660" cy="759460"/>
                <wp:effectExtent l="0" t="0" r="8890" b="254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75946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CA0" w:rsidRPr="009855A4" w:rsidRDefault="00294CA0" w:rsidP="00D36B0A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9855A4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IMPORTANT NOTE:</w:t>
                            </w:r>
                          </w:p>
                          <w:p w:rsidR="00294CA0" w:rsidRPr="009855A4" w:rsidRDefault="00294CA0" w:rsidP="000906C2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9855A4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For further information on the investment risks associated with CF-2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5.85pt;margin-top:4.35pt;width:225.8pt;height:5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" fillcolor="maroon" stroked="f">
                <v:textbox>
                  <w:txbxContent>
                    <w:p w:rsidR="00294CA0" w:rsidRPr="009855A4" w:rsidRDefault="00294CA0" w:rsidP="00D36B0A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9855A4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IMPORTANT NOTE:</w:t>
                      </w:r>
                    </w:p>
                    <w:p w:rsidR="00294CA0" w:rsidRPr="009855A4" w:rsidRDefault="00294CA0" w:rsidP="000906C2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9855A4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For further information on the investment risks associated with CF-2 and how FIC seeks to minimise these risks, please refer to the relevant Information Guide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:rsidR="0051561D" w:rsidRDefault="0051561D" w:rsidP="006B7DE8">
      <w:pPr>
        <w:rPr>
          <w:bCs/>
          <w:color w:val="auto"/>
        </w:rPr>
      </w:pPr>
    </w:p>
    <w:p w:rsidR="00295F58" w:rsidRDefault="00D36B0A" w:rsidP="00EF6B55">
      <w:pPr>
        <w:jc w:val="both"/>
        <w:rPr>
          <w:b/>
          <w:bCs/>
          <w:color w:val="943634"/>
        </w:rPr>
      </w:pPr>
      <w:r>
        <w:rPr>
          <w:b/>
          <w:bCs/>
          <w:color w:val="943634"/>
        </w:rPr>
        <w:br w:type="column"/>
      </w:r>
      <w:r w:rsidR="008635C5" w:rsidRPr="007F67C7">
        <w:rPr>
          <w:b/>
          <w:bCs/>
          <w:color w:val="943634"/>
        </w:rPr>
        <w:lastRenderedPageBreak/>
        <w:t>Fund Details</w:t>
      </w:r>
    </w:p>
    <w:tbl>
      <w:tblPr>
        <w:tblW w:w="4536" w:type="dxa"/>
        <w:tblInd w:w="108" w:type="dxa"/>
        <w:tblLook w:val="04A0" w:firstRow="1" w:lastRow="0" w:firstColumn="1" w:lastColumn="0" w:noHBand="0" w:noVBand="1"/>
      </w:tblPr>
      <w:tblGrid>
        <w:gridCol w:w="3261"/>
        <w:gridCol w:w="1275"/>
      </w:tblGrid>
      <w:tr w:rsidR="00295F58" w:rsidRPr="001669B5" w:rsidTr="00706A43">
        <w:tc>
          <w:tcPr>
            <w:tcW w:w="3261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295F58" w:rsidRPr="001669B5" w:rsidRDefault="000F09A1" w:rsidP="001F07E2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Portfolio</w:t>
            </w:r>
            <w:r w:rsidR="00295F58"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="001F07E2"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Statistics</w:t>
            </w:r>
          </w:p>
        </w:tc>
        <w:tc>
          <w:tcPr>
            <w:tcW w:w="127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295F58" w:rsidRPr="001669B5" w:rsidRDefault="00295F58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</w:tr>
      <w:tr w:rsidR="00295F58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295F58" w:rsidRPr="001669B5" w:rsidRDefault="00295F58" w:rsidP="00CF22D7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Market Value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295F58" w:rsidRPr="001669B5" w:rsidRDefault="00CF22D7" w:rsidP="00F75D2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$</w:t>
            </w:r>
            <w:r w:rsidR="00F75D2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895.675</w:t>
            </w:r>
            <w:r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</w:p>
        </w:tc>
      </w:tr>
      <w:tr w:rsidR="008635C5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8635C5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Number of Holdings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503416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</w:tr>
      <w:tr w:rsidR="008635C5" w:rsidRPr="001669B5" w:rsidTr="001F07E2"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8635C5" w:rsidP="004D1569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Portfolio Duration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096742" w:rsidP="00D164B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3.81</w:t>
            </w:r>
            <w:r w:rsidR="00D47EA0"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D1569"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years</w:t>
            </w:r>
          </w:p>
        </w:tc>
      </w:tr>
      <w:tr w:rsidR="008635C5" w:rsidRPr="001669B5" w:rsidTr="001F07E2">
        <w:trPr>
          <w:trHeight w:val="275"/>
        </w:trPr>
        <w:tc>
          <w:tcPr>
            <w:tcW w:w="3261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8635C5" w:rsidP="004D1569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Market Yield</w:t>
            </w:r>
          </w:p>
        </w:tc>
        <w:tc>
          <w:tcPr>
            <w:tcW w:w="127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635C5" w:rsidRPr="001669B5" w:rsidRDefault="00096742" w:rsidP="00D164B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3.97</w:t>
            </w:r>
            <w:r w:rsidR="004D1569" w:rsidRPr="001669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</w:t>
            </w:r>
          </w:p>
        </w:tc>
      </w:tr>
    </w:tbl>
    <w:p w:rsidR="006F3BA1" w:rsidRPr="001E4F46" w:rsidRDefault="006F3BA1" w:rsidP="00D36B0A"/>
    <w:tbl>
      <w:tblPr>
        <w:tblW w:w="4563" w:type="dxa"/>
        <w:tblInd w:w="108" w:type="dxa"/>
        <w:tblLook w:val="04A0" w:firstRow="1" w:lastRow="0" w:firstColumn="1" w:lastColumn="0" w:noHBand="0" w:noVBand="1"/>
      </w:tblPr>
      <w:tblGrid>
        <w:gridCol w:w="3993"/>
        <w:gridCol w:w="570"/>
      </w:tblGrid>
      <w:tr w:rsidR="00D36B0A" w:rsidRPr="002F3B60" w:rsidTr="003D2FA1">
        <w:trPr>
          <w:trHeight w:val="713"/>
        </w:trPr>
        <w:tc>
          <w:tcPr>
            <w:tcW w:w="3993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4F236E" w:rsidRPr="002F3B60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Top 10 Holdings</w:t>
            </w:r>
            <w:r w:rsidR="00A03C3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(Market Value)</w:t>
            </w:r>
            <w:r w:rsidR="008B7017"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="00FF07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excl. Cash</w:t>
            </w:r>
          </w:p>
          <w:p w:rsidR="00D36B0A" w:rsidRPr="002F3B60" w:rsidRDefault="00837D63" w:rsidP="00837D63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(C</w:t>
            </w:r>
            <w:r w:rsidR="008B7017"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oupon, </w:t>
            </w: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</w:t>
            </w:r>
            <w:r w:rsidR="008B7017"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aturity)</w:t>
            </w:r>
          </w:p>
        </w:tc>
        <w:tc>
          <w:tcPr>
            <w:tcW w:w="570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D36B0A" w:rsidRPr="002F3B60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B6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%</w:t>
            </w:r>
          </w:p>
        </w:tc>
      </w:tr>
      <w:tr w:rsidR="008C1A57" w:rsidRPr="002F3B60" w:rsidTr="003D2FA1">
        <w:trPr>
          <w:trHeight w:val="337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C1A57" w:rsidRPr="00D5596D" w:rsidRDefault="00E875D0" w:rsidP="001F07E2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NSWTC Semi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Gov</w:t>
            </w:r>
            <w:proofErr w:type="spellEnd"/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3.00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20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Feb 2030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C1A57" w:rsidRPr="00D5596D" w:rsidRDefault="00246F0E" w:rsidP="001F07E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5.78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9A49F8" w:rsidP="00857DEF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CBA Covered Bond (4.50%,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10 July 2024)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D571C4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5.75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FD4E31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CBA Covered Bond (4.275%,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26 Aug 2024)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D571C4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5.67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04F3E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WBC Covered Bond (3.875%,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4 June 2025)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04F3E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5.52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04F3E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ANZ MTN (3.10%, 8 Feb 2024)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04F3E" w:rsidP="00CE566A">
            <w:pPr>
              <w:pStyle w:val="BodyTex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4.68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4319ED" w:rsidP="00F23E1B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WBC Covered Bond PP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3.05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%,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5 April 2034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04F3E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4.60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4319ED" w:rsidP="00857DEF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WBC Covered Bond PP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2.95%, 16 May 2034</w:t>
            </w:r>
            <w:r w:rsidRPr="00D5596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604F3E" w:rsidP="00857DE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4.51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D04903" w:rsidP="00857DEF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SAFA Semi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Gov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(2.75%, 24 May 2030)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D04903" w:rsidP="00857DE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3.97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D04903" w:rsidP="00D04903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CBA MTN (3.20%, 16 Aug 2023)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D04903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2.81</w:t>
            </w:r>
          </w:p>
        </w:tc>
      </w:tr>
      <w:tr w:rsidR="00857DEF" w:rsidRPr="002F3B60" w:rsidTr="003D2FA1">
        <w:trPr>
          <w:trHeight w:val="323"/>
        </w:trPr>
        <w:tc>
          <w:tcPr>
            <w:tcW w:w="3993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E11CBE" w:rsidP="00E11CBE">
            <w:pPr>
              <w:pStyle w:val="BodyTex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NAB Covered Bond (5.00</w:t>
            </w:r>
            <w:r w:rsidR="0095389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%, 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</w:t>
            </w:r>
            <w:r w:rsidR="0095389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March 2024</w:t>
            </w:r>
            <w:r w:rsidR="00953893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70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857DEF" w:rsidRPr="00D5596D" w:rsidRDefault="00E11CBE" w:rsidP="00F23E1B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2.77</w:t>
            </w:r>
          </w:p>
        </w:tc>
      </w:tr>
    </w:tbl>
    <w:p w:rsidR="001F07E2" w:rsidRDefault="001F07E2" w:rsidP="002B4199">
      <w:pPr>
        <w:rPr>
          <w:lang w:val="en-US"/>
        </w:rPr>
      </w:pPr>
    </w:p>
    <w:tbl>
      <w:tblPr>
        <w:tblW w:w="4563" w:type="dxa"/>
        <w:jc w:val="center"/>
        <w:tblInd w:w="108" w:type="dxa"/>
        <w:tblLook w:val="04A0" w:firstRow="1" w:lastRow="0" w:firstColumn="1" w:lastColumn="0" w:noHBand="0" w:noVBand="1"/>
      </w:tblPr>
      <w:tblGrid>
        <w:gridCol w:w="3567"/>
        <w:gridCol w:w="996"/>
      </w:tblGrid>
      <w:tr w:rsidR="001F07E2" w:rsidRPr="001669B5" w:rsidTr="003D2FA1">
        <w:trPr>
          <w:trHeight w:val="678"/>
          <w:jc w:val="center"/>
        </w:trPr>
        <w:tc>
          <w:tcPr>
            <w:tcW w:w="3567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1F07E2" w:rsidRPr="001669B5" w:rsidRDefault="001F07E2" w:rsidP="0023633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Holdings by </w:t>
            </w:r>
            <w:r w:rsidR="00060E8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Long Term </w:t>
            </w: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Credit Rating</w:t>
            </w:r>
          </w:p>
          <w:p w:rsidR="00644A7A" w:rsidRPr="001669B5" w:rsidRDefault="00644A7A" w:rsidP="0023633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(excl. Cash &amp; Term Deposits</w:t>
            </w:r>
            <w:r w:rsidR="000C677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&lt; 1 year</w:t>
            </w: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)</w:t>
            </w:r>
          </w:p>
        </w:tc>
        <w:tc>
          <w:tcPr>
            <w:tcW w:w="996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1F07E2" w:rsidRPr="001669B5" w:rsidRDefault="001F07E2" w:rsidP="0023633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%</w:t>
            </w:r>
          </w:p>
        </w:tc>
      </w:tr>
      <w:tr w:rsidR="001F07E2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1F07E2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AAA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5E76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</w:t>
            </w:r>
            <w:r w:rsidR="0050651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</w:t>
            </w:r>
          </w:p>
        </w:tc>
      </w:tr>
      <w:tr w:rsidR="001F07E2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1F07E2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AA+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5E76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16.8</w:t>
            </w:r>
          </w:p>
        </w:tc>
      </w:tr>
      <w:tr w:rsidR="00FF0535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FF0535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5E76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4.7</w:t>
            </w:r>
          </w:p>
        </w:tc>
      </w:tr>
      <w:tr w:rsidR="001F07E2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FF0535" w:rsidP="00FF0535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AA-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1F07E2" w:rsidRPr="00AB50D5" w:rsidRDefault="005E76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="00090A1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5.6</w:t>
            </w:r>
          </w:p>
        </w:tc>
      </w:tr>
      <w:tr w:rsidR="00FF0535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FF0535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AB50D5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</w:t>
            </w:r>
            <w:r w:rsidR="00D854B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+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FF0535" w:rsidRPr="00AB50D5" w:rsidRDefault="005E76BA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13.4</w:t>
            </w:r>
          </w:p>
        </w:tc>
      </w:tr>
      <w:tr w:rsidR="0050651A" w:rsidRPr="001669B5" w:rsidTr="003D2FA1">
        <w:trPr>
          <w:trHeight w:val="320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50651A" w:rsidRPr="00AB50D5" w:rsidRDefault="0050651A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50651A" w:rsidRDefault="0050651A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</w:t>
            </w:r>
          </w:p>
        </w:tc>
      </w:tr>
      <w:tr w:rsidR="0050651A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50651A" w:rsidRPr="00AB50D5" w:rsidRDefault="0050651A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A-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50651A" w:rsidRDefault="00090A1C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</w:t>
            </w:r>
          </w:p>
        </w:tc>
      </w:tr>
      <w:tr w:rsidR="009E48F0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9E48F0" w:rsidRDefault="009E48F0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BBB+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9E48F0" w:rsidRDefault="009E48F0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0.5</w:t>
            </w:r>
          </w:p>
        </w:tc>
      </w:tr>
      <w:tr w:rsidR="009E48F0" w:rsidRPr="001669B5" w:rsidTr="003D2FA1">
        <w:trPr>
          <w:trHeight w:val="307"/>
          <w:jc w:val="center"/>
        </w:trPr>
        <w:tc>
          <w:tcPr>
            <w:tcW w:w="3567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9E48F0" w:rsidRDefault="009E48F0" w:rsidP="00D8280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BBB</w:t>
            </w:r>
          </w:p>
        </w:tc>
        <w:tc>
          <w:tcPr>
            <w:tcW w:w="996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9E48F0" w:rsidRDefault="009E48F0" w:rsidP="00D82802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0.3</w:t>
            </w:r>
          </w:p>
        </w:tc>
      </w:tr>
    </w:tbl>
    <w:p w:rsidR="001F07E2" w:rsidRPr="00C1360E" w:rsidRDefault="001F07E2" w:rsidP="002B4199">
      <w:pPr>
        <w:rPr>
          <w:lang w:val="en-US"/>
        </w:rPr>
      </w:pPr>
    </w:p>
    <w:tbl>
      <w:tblPr>
        <w:tblW w:w="4604" w:type="dxa"/>
        <w:tblInd w:w="108" w:type="dxa"/>
        <w:tblLook w:val="04A0" w:firstRow="1" w:lastRow="0" w:firstColumn="1" w:lastColumn="0" w:noHBand="0" w:noVBand="1"/>
      </w:tblPr>
      <w:tblGrid>
        <w:gridCol w:w="3309"/>
        <w:gridCol w:w="1295"/>
      </w:tblGrid>
      <w:tr w:rsidR="00D36B0A" w:rsidRPr="001669B5" w:rsidTr="00627189">
        <w:trPr>
          <w:trHeight w:val="261"/>
        </w:trPr>
        <w:tc>
          <w:tcPr>
            <w:tcW w:w="3309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  <w:vAlign w:val="bottom"/>
          </w:tcPr>
          <w:p w:rsidR="00D36B0A" w:rsidRPr="001669B5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Maturity Profile</w:t>
            </w:r>
          </w:p>
        </w:tc>
        <w:tc>
          <w:tcPr>
            <w:tcW w:w="129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9E3A38"/>
            <w:vAlign w:val="bottom"/>
          </w:tcPr>
          <w:p w:rsidR="00D36B0A" w:rsidRPr="001669B5" w:rsidRDefault="00D36B0A" w:rsidP="00F23E1B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669B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%</w:t>
            </w:r>
          </w:p>
        </w:tc>
      </w:tr>
      <w:tr w:rsidR="00D36B0A" w:rsidRPr="001669B5" w:rsidTr="00627189">
        <w:trPr>
          <w:trHeight w:val="232"/>
        </w:trPr>
        <w:tc>
          <w:tcPr>
            <w:tcW w:w="330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/>
                <w:b/>
                <w:bCs/>
                <w:color w:val="943634"/>
                <w:sz w:val="18"/>
                <w:szCs w:val="18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0 – 1 year</w:t>
            </w:r>
          </w:p>
        </w:tc>
        <w:tc>
          <w:tcPr>
            <w:tcW w:w="129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585160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15.6</w:t>
            </w:r>
          </w:p>
        </w:tc>
      </w:tr>
      <w:tr w:rsidR="00D36B0A" w:rsidRPr="001669B5" w:rsidTr="00627189">
        <w:trPr>
          <w:trHeight w:val="232"/>
        </w:trPr>
        <w:tc>
          <w:tcPr>
            <w:tcW w:w="330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 – 3 year</w:t>
            </w:r>
          </w:p>
        </w:tc>
        <w:tc>
          <w:tcPr>
            <w:tcW w:w="129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2D3D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43.2</w:t>
            </w:r>
          </w:p>
        </w:tc>
      </w:tr>
      <w:tr w:rsidR="00D36B0A" w:rsidRPr="001669B5" w:rsidTr="00627189">
        <w:trPr>
          <w:trHeight w:val="232"/>
        </w:trPr>
        <w:tc>
          <w:tcPr>
            <w:tcW w:w="330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3 – 5 year</w:t>
            </w:r>
          </w:p>
        </w:tc>
        <w:tc>
          <w:tcPr>
            <w:tcW w:w="129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2D3D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9.2</w:t>
            </w:r>
          </w:p>
        </w:tc>
      </w:tr>
      <w:tr w:rsidR="00D36B0A" w:rsidRPr="001669B5" w:rsidTr="00627189">
        <w:trPr>
          <w:trHeight w:val="232"/>
        </w:trPr>
        <w:tc>
          <w:tcPr>
            <w:tcW w:w="330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D36B0A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74621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5 – 10 year</w:t>
            </w:r>
          </w:p>
        </w:tc>
        <w:tc>
          <w:tcPr>
            <w:tcW w:w="129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36B0A" w:rsidRPr="00746214" w:rsidRDefault="002D3DBA" w:rsidP="00D47EA0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19.9</w:t>
            </w:r>
          </w:p>
        </w:tc>
      </w:tr>
      <w:tr w:rsidR="00D82802" w:rsidRPr="00052884" w:rsidTr="002B4199">
        <w:trPr>
          <w:trHeight w:val="162"/>
        </w:trPr>
        <w:tc>
          <w:tcPr>
            <w:tcW w:w="3309" w:type="dxa"/>
            <w:tcBorders>
              <w:right w:val="single" w:sz="18" w:space="0" w:color="FFFFFF"/>
            </w:tcBorders>
            <w:shd w:val="clear" w:color="auto" w:fill="D9D9D9"/>
            <w:vAlign w:val="bottom"/>
          </w:tcPr>
          <w:p w:rsidR="00D82802" w:rsidRPr="00052884" w:rsidRDefault="00D82802" w:rsidP="001F07E2">
            <w:pPr>
              <w:pStyle w:val="BodyTex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052884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10+ years</w:t>
            </w:r>
          </w:p>
        </w:tc>
        <w:tc>
          <w:tcPr>
            <w:tcW w:w="1295" w:type="dxa"/>
            <w:tcBorders>
              <w:left w:val="single" w:sz="18" w:space="0" w:color="FFFFFF"/>
            </w:tcBorders>
            <w:shd w:val="clear" w:color="auto" w:fill="D9D9D9"/>
            <w:vAlign w:val="bottom"/>
          </w:tcPr>
          <w:p w:rsidR="00D82802" w:rsidRPr="00052884" w:rsidRDefault="00A62916" w:rsidP="0012544F">
            <w:pPr>
              <w:pStyle w:val="BodyTex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28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="002D3D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2.1</w:t>
            </w:r>
          </w:p>
        </w:tc>
      </w:tr>
    </w:tbl>
    <w:p w:rsidR="00A3289C" w:rsidRDefault="00A3289C" w:rsidP="00B97D86">
      <w:pPr>
        <w:pStyle w:val="Body"/>
        <w:spacing w:after="0"/>
      </w:pPr>
    </w:p>
    <w:sectPr w:rsidR="00A3289C" w:rsidSect="00D11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3B" w:rsidRDefault="00402F3B" w:rsidP="00C83030">
      <w:r>
        <w:separator/>
      </w:r>
    </w:p>
  </w:endnote>
  <w:endnote w:type="continuationSeparator" w:id="0">
    <w:p w:rsidR="00402F3B" w:rsidRDefault="00402F3B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A0" w:rsidRDefault="00294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A0" w:rsidRPr="0094257B" w:rsidRDefault="00294CA0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CwdOdFmQIAAIMFAAAOAAAAAAAAAAAAAAAAAC4CAABkcnMvZTJvRG9j&#10;LnhtbFBLAQItABQABgAIAAAAIQAqK3dr3AAAAA0BAAAPAAAAAAAAAAAAAAAAAPMEAABkcnMvZG93&#10;bnJldi54bWxQSwUGAAAAAAQABADzAAAA/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2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172D07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A0" w:rsidRDefault="00294CA0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3B" w:rsidRDefault="00402F3B" w:rsidP="00C83030">
      <w:r>
        <w:separator/>
      </w:r>
    </w:p>
  </w:footnote>
  <w:footnote w:type="continuationSeparator" w:id="0">
    <w:p w:rsidR="00402F3B" w:rsidRDefault="00402F3B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A0" w:rsidRDefault="00294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A0" w:rsidRDefault="00294CA0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 descr="Factsheet_ligh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tsheet_ligh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A0" w:rsidRPr="00710119" w:rsidRDefault="00294CA0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formatting="1" w:enforcement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A9"/>
    <w:rsid w:val="0000407C"/>
    <w:rsid w:val="000079A1"/>
    <w:rsid w:val="000101A8"/>
    <w:rsid w:val="000234AA"/>
    <w:rsid w:val="000234B7"/>
    <w:rsid w:val="00023D99"/>
    <w:rsid w:val="000247C4"/>
    <w:rsid w:val="00037503"/>
    <w:rsid w:val="00040713"/>
    <w:rsid w:val="00041714"/>
    <w:rsid w:val="00041BE4"/>
    <w:rsid w:val="00044F41"/>
    <w:rsid w:val="00050480"/>
    <w:rsid w:val="000523E4"/>
    <w:rsid w:val="00052884"/>
    <w:rsid w:val="00056DE6"/>
    <w:rsid w:val="00060E82"/>
    <w:rsid w:val="00064890"/>
    <w:rsid w:val="00064B88"/>
    <w:rsid w:val="000656A6"/>
    <w:rsid w:val="00070791"/>
    <w:rsid w:val="000717EC"/>
    <w:rsid w:val="00071D67"/>
    <w:rsid w:val="00074DB6"/>
    <w:rsid w:val="0008240A"/>
    <w:rsid w:val="000906C2"/>
    <w:rsid w:val="00090A1C"/>
    <w:rsid w:val="00093153"/>
    <w:rsid w:val="000938C2"/>
    <w:rsid w:val="00096742"/>
    <w:rsid w:val="00097D97"/>
    <w:rsid w:val="000B6C41"/>
    <w:rsid w:val="000C2055"/>
    <w:rsid w:val="000C5C42"/>
    <w:rsid w:val="000C6778"/>
    <w:rsid w:val="000C6E2D"/>
    <w:rsid w:val="000D6EE8"/>
    <w:rsid w:val="000E363E"/>
    <w:rsid w:val="000E380E"/>
    <w:rsid w:val="000F09A1"/>
    <w:rsid w:val="000F3504"/>
    <w:rsid w:val="000F4F6F"/>
    <w:rsid w:val="000F728D"/>
    <w:rsid w:val="000F72AD"/>
    <w:rsid w:val="00111FFF"/>
    <w:rsid w:val="00115C31"/>
    <w:rsid w:val="00117917"/>
    <w:rsid w:val="00124BB2"/>
    <w:rsid w:val="0012544F"/>
    <w:rsid w:val="001254A9"/>
    <w:rsid w:val="001326C9"/>
    <w:rsid w:val="00134925"/>
    <w:rsid w:val="00141AC1"/>
    <w:rsid w:val="001427FB"/>
    <w:rsid w:val="00144BFC"/>
    <w:rsid w:val="00146A67"/>
    <w:rsid w:val="00150F18"/>
    <w:rsid w:val="001528E8"/>
    <w:rsid w:val="00153059"/>
    <w:rsid w:val="00155396"/>
    <w:rsid w:val="001559FB"/>
    <w:rsid w:val="001606EE"/>
    <w:rsid w:val="00161040"/>
    <w:rsid w:val="00162521"/>
    <w:rsid w:val="001649F4"/>
    <w:rsid w:val="001654A2"/>
    <w:rsid w:val="001669B5"/>
    <w:rsid w:val="00167F11"/>
    <w:rsid w:val="00171B9D"/>
    <w:rsid w:val="00172D07"/>
    <w:rsid w:val="001762C4"/>
    <w:rsid w:val="00177681"/>
    <w:rsid w:val="001812AA"/>
    <w:rsid w:val="001930E9"/>
    <w:rsid w:val="00195A23"/>
    <w:rsid w:val="00196DED"/>
    <w:rsid w:val="001971D1"/>
    <w:rsid w:val="001A4C58"/>
    <w:rsid w:val="001A5B50"/>
    <w:rsid w:val="001A7703"/>
    <w:rsid w:val="001B2DC6"/>
    <w:rsid w:val="001B5530"/>
    <w:rsid w:val="001B7CDC"/>
    <w:rsid w:val="001B7FB7"/>
    <w:rsid w:val="001C0F61"/>
    <w:rsid w:val="001C7F0B"/>
    <w:rsid w:val="001D05BA"/>
    <w:rsid w:val="001D1AC9"/>
    <w:rsid w:val="001D357F"/>
    <w:rsid w:val="001D393F"/>
    <w:rsid w:val="001E015B"/>
    <w:rsid w:val="001E0DF3"/>
    <w:rsid w:val="001E0ED3"/>
    <w:rsid w:val="001E30E7"/>
    <w:rsid w:val="001E79EA"/>
    <w:rsid w:val="001F07E2"/>
    <w:rsid w:val="001F4539"/>
    <w:rsid w:val="001F5F85"/>
    <w:rsid w:val="002040E0"/>
    <w:rsid w:val="002053E7"/>
    <w:rsid w:val="00207C6E"/>
    <w:rsid w:val="00212227"/>
    <w:rsid w:val="002225B9"/>
    <w:rsid w:val="00225258"/>
    <w:rsid w:val="002300BE"/>
    <w:rsid w:val="00230B34"/>
    <w:rsid w:val="00233E42"/>
    <w:rsid w:val="00234ADF"/>
    <w:rsid w:val="00235475"/>
    <w:rsid w:val="00236330"/>
    <w:rsid w:val="00236D37"/>
    <w:rsid w:val="0024066A"/>
    <w:rsid w:val="00246F0E"/>
    <w:rsid w:val="00250101"/>
    <w:rsid w:val="00250634"/>
    <w:rsid w:val="00257D6E"/>
    <w:rsid w:val="00260E06"/>
    <w:rsid w:val="00261472"/>
    <w:rsid w:val="00262DBC"/>
    <w:rsid w:val="002650B8"/>
    <w:rsid w:val="00272058"/>
    <w:rsid w:val="002754CD"/>
    <w:rsid w:val="0028010A"/>
    <w:rsid w:val="00282A61"/>
    <w:rsid w:val="00285199"/>
    <w:rsid w:val="00285509"/>
    <w:rsid w:val="0029180B"/>
    <w:rsid w:val="0029345D"/>
    <w:rsid w:val="002946ED"/>
    <w:rsid w:val="00294CA0"/>
    <w:rsid w:val="00295578"/>
    <w:rsid w:val="00295F58"/>
    <w:rsid w:val="002B1776"/>
    <w:rsid w:val="002B4199"/>
    <w:rsid w:val="002B463F"/>
    <w:rsid w:val="002B585B"/>
    <w:rsid w:val="002C0DC6"/>
    <w:rsid w:val="002C4D91"/>
    <w:rsid w:val="002C7A15"/>
    <w:rsid w:val="002D1643"/>
    <w:rsid w:val="002D3DBA"/>
    <w:rsid w:val="002D57E0"/>
    <w:rsid w:val="002D6F18"/>
    <w:rsid w:val="002E55F3"/>
    <w:rsid w:val="002F1E25"/>
    <w:rsid w:val="002F3B60"/>
    <w:rsid w:val="002F4F51"/>
    <w:rsid w:val="002F5559"/>
    <w:rsid w:val="00301746"/>
    <w:rsid w:val="0031248C"/>
    <w:rsid w:val="00313D70"/>
    <w:rsid w:val="003168BC"/>
    <w:rsid w:val="003272BB"/>
    <w:rsid w:val="00330993"/>
    <w:rsid w:val="00337C57"/>
    <w:rsid w:val="003460F0"/>
    <w:rsid w:val="00346F51"/>
    <w:rsid w:val="003500B0"/>
    <w:rsid w:val="003560D1"/>
    <w:rsid w:val="0036139E"/>
    <w:rsid w:val="00361E5E"/>
    <w:rsid w:val="0036238F"/>
    <w:rsid w:val="003655DB"/>
    <w:rsid w:val="00370C03"/>
    <w:rsid w:val="00375819"/>
    <w:rsid w:val="003758F2"/>
    <w:rsid w:val="00377304"/>
    <w:rsid w:val="00377625"/>
    <w:rsid w:val="00385D43"/>
    <w:rsid w:val="003865FE"/>
    <w:rsid w:val="0039651C"/>
    <w:rsid w:val="00397EE6"/>
    <w:rsid w:val="003A0621"/>
    <w:rsid w:val="003A418C"/>
    <w:rsid w:val="003B162C"/>
    <w:rsid w:val="003B4993"/>
    <w:rsid w:val="003B76F8"/>
    <w:rsid w:val="003C132A"/>
    <w:rsid w:val="003C1FE6"/>
    <w:rsid w:val="003C3933"/>
    <w:rsid w:val="003C619C"/>
    <w:rsid w:val="003C6ED3"/>
    <w:rsid w:val="003D2308"/>
    <w:rsid w:val="003D2FA1"/>
    <w:rsid w:val="003E1317"/>
    <w:rsid w:val="003E1721"/>
    <w:rsid w:val="003F537E"/>
    <w:rsid w:val="00402F3B"/>
    <w:rsid w:val="00404732"/>
    <w:rsid w:val="00404CB1"/>
    <w:rsid w:val="00412440"/>
    <w:rsid w:val="00415E0C"/>
    <w:rsid w:val="00417EFA"/>
    <w:rsid w:val="0042277E"/>
    <w:rsid w:val="0042321D"/>
    <w:rsid w:val="00423414"/>
    <w:rsid w:val="00423B7A"/>
    <w:rsid w:val="00424D9F"/>
    <w:rsid w:val="004319ED"/>
    <w:rsid w:val="004344A2"/>
    <w:rsid w:val="00437ADA"/>
    <w:rsid w:val="00444DFB"/>
    <w:rsid w:val="00450315"/>
    <w:rsid w:val="00450F9E"/>
    <w:rsid w:val="00452ADF"/>
    <w:rsid w:val="00461419"/>
    <w:rsid w:val="00461DC6"/>
    <w:rsid w:val="004627A4"/>
    <w:rsid w:val="00462C6E"/>
    <w:rsid w:val="004666C2"/>
    <w:rsid w:val="00467CC1"/>
    <w:rsid w:val="004700DE"/>
    <w:rsid w:val="004713A7"/>
    <w:rsid w:val="00480F2D"/>
    <w:rsid w:val="0048107B"/>
    <w:rsid w:val="0048194D"/>
    <w:rsid w:val="004837CB"/>
    <w:rsid w:val="004925C5"/>
    <w:rsid w:val="004A1781"/>
    <w:rsid w:val="004C5EFA"/>
    <w:rsid w:val="004C6D59"/>
    <w:rsid w:val="004C79DC"/>
    <w:rsid w:val="004C7F44"/>
    <w:rsid w:val="004D1569"/>
    <w:rsid w:val="004D4E18"/>
    <w:rsid w:val="004D6BB0"/>
    <w:rsid w:val="004E4DA6"/>
    <w:rsid w:val="004E5CF5"/>
    <w:rsid w:val="004E6D09"/>
    <w:rsid w:val="004F10C8"/>
    <w:rsid w:val="004F236E"/>
    <w:rsid w:val="004F34A2"/>
    <w:rsid w:val="004F6108"/>
    <w:rsid w:val="00503416"/>
    <w:rsid w:val="00503EC4"/>
    <w:rsid w:val="005053AC"/>
    <w:rsid w:val="0050651A"/>
    <w:rsid w:val="00506D31"/>
    <w:rsid w:val="00506D9C"/>
    <w:rsid w:val="005076D5"/>
    <w:rsid w:val="00507DE5"/>
    <w:rsid w:val="00513406"/>
    <w:rsid w:val="0051561D"/>
    <w:rsid w:val="005223B6"/>
    <w:rsid w:val="00522982"/>
    <w:rsid w:val="00523FD2"/>
    <w:rsid w:val="00537C6B"/>
    <w:rsid w:val="00545BFD"/>
    <w:rsid w:val="005462E6"/>
    <w:rsid w:val="005532EB"/>
    <w:rsid w:val="00554BE7"/>
    <w:rsid w:val="00555E9B"/>
    <w:rsid w:val="00560717"/>
    <w:rsid w:val="00560F3D"/>
    <w:rsid w:val="0056788E"/>
    <w:rsid w:val="005701AE"/>
    <w:rsid w:val="00572CD3"/>
    <w:rsid w:val="0057700F"/>
    <w:rsid w:val="005839A3"/>
    <w:rsid w:val="00583D49"/>
    <w:rsid w:val="00585160"/>
    <w:rsid w:val="0058784B"/>
    <w:rsid w:val="0059505B"/>
    <w:rsid w:val="005953D5"/>
    <w:rsid w:val="005A0718"/>
    <w:rsid w:val="005A4E5A"/>
    <w:rsid w:val="005A53AB"/>
    <w:rsid w:val="005A6F70"/>
    <w:rsid w:val="005B0F99"/>
    <w:rsid w:val="005B2395"/>
    <w:rsid w:val="005B26A6"/>
    <w:rsid w:val="005B6143"/>
    <w:rsid w:val="005C19FE"/>
    <w:rsid w:val="005C472B"/>
    <w:rsid w:val="005D2D9B"/>
    <w:rsid w:val="005D48DC"/>
    <w:rsid w:val="005D7B8A"/>
    <w:rsid w:val="005E1F2F"/>
    <w:rsid w:val="005E43DB"/>
    <w:rsid w:val="005E76BA"/>
    <w:rsid w:val="005E7AB4"/>
    <w:rsid w:val="005F1F13"/>
    <w:rsid w:val="005F37D8"/>
    <w:rsid w:val="005F4DA2"/>
    <w:rsid w:val="005F5F53"/>
    <w:rsid w:val="00604F3E"/>
    <w:rsid w:val="00616D17"/>
    <w:rsid w:val="00624624"/>
    <w:rsid w:val="00627189"/>
    <w:rsid w:val="0063111E"/>
    <w:rsid w:val="00632A5B"/>
    <w:rsid w:val="006349DC"/>
    <w:rsid w:val="00637A36"/>
    <w:rsid w:val="006404D4"/>
    <w:rsid w:val="0064060A"/>
    <w:rsid w:val="00644A7A"/>
    <w:rsid w:val="00646BBF"/>
    <w:rsid w:val="00647EA1"/>
    <w:rsid w:val="0065433E"/>
    <w:rsid w:val="00660B1E"/>
    <w:rsid w:val="00663531"/>
    <w:rsid w:val="00665C9F"/>
    <w:rsid w:val="00667794"/>
    <w:rsid w:val="00670EB8"/>
    <w:rsid w:val="00672031"/>
    <w:rsid w:val="00672ACB"/>
    <w:rsid w:val="0067322F"/>
    <w:rsid w:val="00681436"/>
    <w:rsid w:val="006826DC"/>
    <w:rsid w:val="00683A64"/>
    <w:rsid w:val="00684CCE"/>
    <w:rsid w:val="00694BD4"/>
    <w:rsid w:val="0069500A"/>
    <w:rsid w:val="00695C8A"/>
    <w:rsid w:val="00697CD7"/>
    <w:rsid w:val="006A10F0"/>
    <w:rsid w:val="006B21D1"/>
    <w:rsid w:val="006B2279"/>
    <w:rsid w:val="006B3097"/>
    <w:rsid w:val="006B32FC"/>
    <w:rsid w:val="006B361B"/>
    <w:rsid w:val="006B53F1"/>
    <w:rsid w:val="006B6EE6"/>
    <w:rsid w:val="006B7AFF"/>
    <w:rsid w:val="006B7DE8"/>
    <w:rsid w:val="006C0850"/>
    <w:rsid w:val="006D4D0E"/>
    <w:rsid w:val="006E011D"/>
    <w:rsid w:val="006E532A"/>
    <w:rsid w:val="006E5E5E"/>
    <w:rsid w:val="006F3BA1"/>
    <w:rsid w:val="006F3DD1"/>
    <w:rsid w:val="006F5ECA"/>
    <w:rsid w:val="006F6CEB"/>
    <w:rsid w:val="006F766C"/>
    <w:rsid w:val="006F771D"/>
    <w:rsid w:val="00703088"/>
    <w:rsid w:val="00704B8B"/>
    <w:rsid w:val="00705B61"/>
    <w:rsid w:val="00706636"/>
    <w:rsid w:val="00706A43"/>
    <w:rsid w:val="00707112"/>
    <w:rsid w:val="00710119"/>
    <w:rsid w:val="00714DE3"/>
    <w:rsid w:val="00720589"/>
    <w:rsid w:val="00721FC0"/>
    <w:rsid w:val="00724C76"/>
    <w:rsid w:val="00725B71"/>
    <w:rsid w:val="00726E69"/>
    <w:rsid w:val="00732B14"/>
    <w:rsid w:val="007431A1"/>
    <w:rsid w:val="0074488E"/>
    <w:rsid w:val="00746214"/>
    <w:rsid w:val="007529C0"/>
    <w:rsid w:val="007557DE"/>
    <w:rsid w:val="00756B78"/>
    <w:rsid w:val="00757100"/>
    <w:rsid w:val="00771056"/>
    <w:rsid w:val="00771D1C"/>
    <w:rsid w:val="00771D71"/>
    <w:rsid w:val="00773B5D"/>
    <w:rsid w:val="00780D86"/>
    <w:rsid w:val="0078259B"/>
    <w:rsid w:val="00784394"/>
    <w:rsid w:val="00793913"/>
    <w:rsid w:val="00796573"/>
    <w:rsid w:val="007A1BA8"/>
    <w:rsid w:val="007A2183"/>
    <w:rsid w:val="007A3A67"/>
    <w:rsid w:val="007A4B60"/>
    <w:rsid w:val="007A6E41"/>
    <w:rsid w:val="007B023A"/>
    <w:rsid w:val="007B02C7"/>
    <w:rsid w:val="007B0563"/>
    <w:rsid w:val="007C0E16"/>
    <w:rsid w:val="007C2457"/>
    <w:rsid w:val="007D1141"/>
    <w:rsid w:val="007E26C4"/>
    <w:rsid w:val="007E3A00"/>
    <w:rsid w:val="007E5D5A"/>
    <w:rsid w:val="007F19AC"/>
    <w:rsid w:val="007F67C7"/>
    <w:rsid w:val="00802FF5"/>
    <w:rsid w:val="008100CA"/>
    <w:rsid w:val="00810325"/>
    <w:rsid w:val="008105F0"/>
    <w:rsid w:val="00823E27"/>
    <w:rsid w:val="008254C3"/>
    <w:rsid w:val="00827EE1"/>
    <w:rsid w:val="00833042"/>
    <w:rsid w:val="00837D63"/>
    <w:rsid w:val="00840719"/>
    <w:rsid w:val="00842FAE"/>
    <w:rsid w:val="008439CB"/>
    <w:rsid w:val="00844792"/>
    <w:rsid w:val="00844CF1"/>
    <w:rsid w:val="00845D42"/>
    <w:rsid w:val="008516DC"/>
    <w:rsid w:val="008547C4"/>
    <w:rsid w:val="00857414"/>
    <w:rsid w:val="00857DEF"/>
    <w:rsid w:val="00862910"/>
    <w:rsid w:val="008635C5"/>
    <w:rsid w:val="00866770"/>
    <w:rsid w:val="00871344"/>
    <w:rsid w:val="00881C49"/>
    <w:rsid w:val="0088221F"/>
    <w:rsid w:val="00884021"/>
    <w:rsid w:val="00887083"/>
    <w:rsid w:val="00887633"/>
    <w:rsid w:val="008A5871"/>
    <w:rsid w:val="008A5F5F"/>
    <w:rsid w:val="008A6545"/>
    <w:rsid w:val="008B0E4E"/>
    <w:rsid w:val="008B52E7"/>
    <w:rsid w:val="008B59D1"/>
    <w:rsid w:val="008B7017"/>
    <w:rsid w:val="008B76FF"/>
    <w:rsid w:val="008C1A57"/>
    <w:rsid w:val="008C6A2D"/>
    <w:rsid w:val="008C71F6"/>
    <w:rsid w:val="008C74A7"/>
    <w:rsid w:val="008D1156"/>
    <w:rsid w:val="008D37C2"/>
    <w:rsid w:val="008D4706"/>
    <w:rsid w:val="008E1B25"/>
    <w:rsid w:val="008E2676"/>
    <w:rsid w:val="008E50C2"/>
    <w:rsid w:val="008E70DA"/>
    <w:rsid w:val="008E7BA8"/>
    <w:rsid w:val="008F03E0"/>
    <w:rsid w:val="009010E6"/>
    <w:rsid w:val="00903CA2"/>
    <w:rsid w:val="00913734"/>
    <w:rsid w:val="009141EA"/>
    <w:rsid w:val="00915445"/>
    <w:rsid w:val="00917938"/>
    <w:rsid w:val="00920C9B"/>
    <w:rsid w:val="00923E1E"/>
    <w:rsid w:val="009275B5"/>
    <w:rsid w:val="0093339D"/>
    <w:rsid w:val="00934259"/>
    <w:rsid w:val="0094257B"/>
    <w:rsid w:val="00943BAB"/>
    <w:rsid w:val="00953893"/>
    <w:rsid w:val="00955CE5"/>
    <w:rsid w:val="00955E77"/>
    <w:rsid w:val="00970E66"/>
    <w:rsid w:val="009745FC"/>
    <w:rsid w:val="00975195"/>
    <w:rsid w:val="00975D6C"/>
    <w:rsid w:val="00980936"/>
    <w:rsid w:val="00980AF6"/>
    <w:rsid w:val="0098187B"/>
    <w:rsid w:val="009855A4"/>
    <w:rsid w:val="00991055"/>
    <w:rsid w:val="00991DB6"/>
    <w:rsid w:val="00993BC0"/>
    <w:rsid w:val="009A19AA"/>
    <w:rsid w:val="009A49F8"/>
    <w:rsid w:val="009B341A"/>
    <w:rsid w:val="009B51BD"/>
    <w:rsid w:val="009B7D07"/>
    <w:rsid w:val="009D0A66"/>
    <w:rsid w:val="009D21F9"/>
    <w:rsid w:val="009E104B"/>
    <w:rsid w:val="009E48F0"/>
    <w:rsid w:val="009F2686"/>
    <w:rsid w:val="009F63F9"/>
    <w:rsid w:val="009F6602"/>
    <w:rsid w:val="009F739F"/>
    <w:rsid w:val="00A00552"/>
    <w:rsid w:val="00A0072F"/>
    <w:rsid w:val="00A01140"/>
    <w:rsid w:val="00A02747"/>
    <w:rsid w:val="00A03C33"/>
    <w:rsid w:val="00A03F4C"/>
    <w:rsid w:val="00A04DF7"/>
    <w:rsid w:val="00A07229"/>
    <w:rsid w:val="00A146BB"/>
    <w:rsid w:val="00A15353"/>
    <w:rsid w:val="00A24098"/>
    <w:rsid w:val="00A3191A"/>
    <w:rsid w:val="00A3289C"/>
    <w:rsid w:val="00A336A1"/>
    <w:rsid w:val="00A33EBA"/>
    <w:rsid w:val="00A412DB"/>
    <w:rsid w:val="00A437AD"/>
    <w:rsid w:val="00A4741F"/>
    <w:rsid w:val="00A52FEA"/>
    <w:rsid w:val="00A61192"/>
    <w:rsid w:val="00A61EED"/>
    <w:rsid w:val="00A62916"/>
    <w:rsid w:val="00A65D3D"/>
    <w:rsid w:val="00A65E9D"/>
    <w:rsid w:val="00A70011"/>
    <w:rsid w:val="00A7207D"/>
    <w:rsid w:val="00A73539"/>
    <w:rsid w:val="00A83637"/>
    <w:rsid w:val="00A87B1D"/>
    <w:rsid w:val="00A94AF6"/>
    <w:rsid w:val="00AA1932"/>
    <w:rsid w:val="00AA4521"/>
    <w:rsid w:val="00AA5173"/>
    <w:rsid w:val="00AB0C07"/>
    <w:rsid w:val="00AB26EA"/>
    <w:rsid w:val="00AB321D"/>
    <w:rsid w:val="00AB50D5"/>
    <w:rsid w:val="00AB5BB5"/>
    <w:rsid w:val="00AC3B84"/>
    <w:rsid w:val="00AC5DA3"/>
    <w:rsid w:val="00AC7B28"/>
    <w:rsid w:val="00AD29A9"/>
    <w:rsid w:val="00AD4B76"/>
    <w:rsid w:val="00AE6023"/>
    <w:rsid w:val="00AE6F03"/>
    <w:rsid w:val="00AF3ADA"/>
    <w:rsid w:val="00AF3BD2"/>
    <w:rsid w:val="00B07F63"/>
    <w:rsid w:val="00B17C35"/>
    <w:rsid w:val="00B2168D"/>
    <w:rsid w:val="00B267B9"/>
    <w:rsid w:val="00B31FE3"/>
    <w:rsid w:val="00B46390"/>
    <w:rsid w:val="00B50A45"/>
    <w:rsid w:val="00B63E08"/>
    <w:rsid w:val="00B7014F"/>
    <w:rsid w:val="00B70F4B"/>
    <w:rsid w:val="00B77F9E"/>
    <w:rsid w:val="00B8602E"/>
    <w:rsid w:val="00B87F0D"/>
    <w:rsid w:val="00B90D18"/>
    <w:rsid w:val="00B92671"/>
    <w:rsid w:val="00B97D86"/>
    <w:rsid w:val="00BA62D9"/>
    <w:rsid w:val="00BB28BD"/>
    <w:rsid w:val="00BB3121"/>
    <w:rsid w:val="00BC0384"/>
    <w:rsid w:val="00BC081E"/>
    <w:rsid w:val="00BC2BA1"/>
    <w:rsid w:val="00BE25F9"/>
    <w:rsid w:val="00BE4102"/>
    <w:rsid w:val="00BE654B"/>
    <w:rsid w:val="00BE77DB"/>
    <w:rsid w:val="00BF1195"/>
    <w:rsid w:val="00BF4B4D"/>
    <w:rsid w:val="00BF5470"/>
    <w:rsid w:val="00BF6441"/>
    <w:rsid w:val="00C063B4"/>
    <w:rsid w:val="00C111A8"/>
    <w:rsid w:val="00C14B5B"/>
    <w:rsid w:val="00C15D72"/>
    <w:rsid w:val="00C15E9F"/>
    <w:rsid w:val="00C21AF4"/>
    <w:rsid w:val="00C260E2"/>
    <w:rsid w:val="00C327C0"/>
    <w:rsid w:val="00C33D32"/>
    <w:rsid w:val="00C345AD"/>
    <w:rsid w:val="00C3603A"/>
    <w:rsid w:val="00C434A6"/>
    <w:rsid w:val="00C444EE"/>
    <w:rsid w:val="00C44DBC"/>
    <w:rsid w:val="00C61798"/>
    <w:rsid w:val="00C6609F"/>
    <w:rsid w:val="00C66FBC"/>
    <w:rsid w:val="00C718EB"/>
    <w:rsid w:val="00C71E21"/>
    <w:rsid w:val="00C72EAC"/>
    <w:rsid w:val="00C75BCE"/>
    <w:rsid w:val="00C770CD"/>
    <w:rsid w:val="00C772F8"/>
    <w:rsid w:val="00C77769"/>
    <w:rsid w:val="00C80EF6"/>
    <w:rsid w:val="00C821E7"/>
    <w:rsid w:val="00C83030"/>
    <w:rsid w:val="00C850EA"/>
    <w:rsid w:val="00C864FE"/>
    <w:rsid w:val="00C929E9"/>
    <w:rsid w:val="00C93D83"/>
    <w:rsid w:val="00C93E9E"/>
    <w:rsid w:val="00C94F36"/>
    <w:rsid w:val="00CA62AD"/>
    <w:rsid w:val="00CB08B2"/>
    <w:rsid w:val="00CB09C8"/>
    <w:rsid w:val="00CB176E"/>
    <w:rsid w:val="00CB17A5"/>
    <w:rsid w:val="00CC3674"/>
    <w:rsid w:val="00CC45D3"/>
    <w:rsid w:val="00CC7032"/>
    <w:rsid w:val="00CD0A1E"/>
    <w:rsid w:val="00CD41F5"/>
    <w:rsid w:val="00CD549B"/>
    <w:rsid w:val="00CD6EDC"/>
    <w:rsid w:val="00CE5525"/>
    <w:rsid w:val="00CE566A"/>
    <w:rsid w:val="00CE5D8A"/>
    <w:rsid w:val="00CF004F"/>
    <w:rsid w:val="00CF22D7"/>
    <w:rsid w:val="00CF519D"/>
    <w:rsid w:val="00D03BD8"/>
    <w:rsid w:val="00D04903"/>
    <w:rsid w:val="00D1166C"/>
    <w:rsid w:val="00D164BF"/>
    <w:rsid w:val="00D20AAF"/>
    <w:rsid w:val="00D21DD3"/>
    <w:rsid w:val="00D23479"/>
    <w:rsid w:val="00D25FAC"/>
    <w:rsid w:val="00D32BB1"/>
    <w:rsid w:val="00D33406"/>
    <w:rsid w:val="00D3354F"/>
    <w:rsid w:val="00D33C34"/>
    <w:rsid w:val="00D36B0A"/>
    <w:rsid w:val="00D47E0C"/>
    <w:rsid w:val="00D47EA0"/>
    <w:rsid w:val="00D50554"/>
    <w:rsid w:val="00D5596D"/>
    <w:rsid w:val="00D571C4"/>
    <w:rsid w:val="00D62534"/>
    <w:rsid w:val="00D62D74"/>
    <w:rsid w:val="00D64EF5"/>
    <w:rsid w:val="00D65C7F"/>
    <w:rsid w:val="00D66C17"/>
    <w:rsid w:val="00D70493"/>
    <w:rsid w:val="00D70806"/>
    <w:rsid w:val="00D71739"/>
    <w:rsid w:val="00D718C0"/>
    <w:rsid w:val="00D82802"/>
    <w:rsid w:val="00D854BD"/>
    <w:rsid w:val="00D91F5F"/>
    <w:rsid w:val="00D92CA5"/>
    <w:rsid w:val="00D93C1A"/>
    <w:rsid w:val="00D9507C"/>
    <w:rsid w:val="00D9643A"/>
    <w:rsid w:val="00D9724B"/>
    <w:rsid w:val="00DA0294"/>
    <w:rsid w:val="00DA04BD"/>
    <w:rsid w:val="00DA1713"/>
    <w:rsid w:val="00DA1738"/>
    <w:rsid w:val="00DA4CD2"/>
    <w:rsid w:val="00DA7221"/>
    <w:rsid w:val="00DB1549"/>
    <w:rsid w:val="00DC2AB3"/>
    <w:rsid w:val="00DC563F"/>
    <w:rsid w:val="00DC756D"/>
    <w:rsid w:val="00DD6A61"/>
    <w:rsid w:val="00DE0153"/>
    <w:rsid w:val="00DE1487"/>
    <w:rsid w:val="00DE2BE5"/>
    <w:rsid w:val="00DE61A3"/>
    <w:rsid w:val="00DE67E6"/>
    <w:rsid w:val="00DF15B4"/>
    <w:rsid w:val="00E11668"/>
    <w:rsid w:val="00E11CBE"/>
    <w:rsid w:val="00E15BA7"/>
    <w:rsid w:val="00E1649C"/>
    <w:rsid w:val="00E20795"/>
    <w:rsid w:val="00E26CEB"/>
    <w:rsid w:val="00E3113E"/>
    <w:rsid w:val="00E32832"/>
    <w:rsid w:val="00E40C9F"/>
    <w:rsid w:val="00E4107E"/>
    <w:rsid w:val="00E41CB8"/>
    <w:rsid w:val="00E54495"/>
    <w:rsid w:val="00E55C62"/>
    <w:rsid w:val="00E55DB9"/>
    <w:rsid w:val="00E56EF4"/>
    <w:rsid w:val="00E609E7"/>
    <w:rsid w:val="00E645A4"/>
    <w:rsid w:val="00E65B4C"/>
    <w:rsid w:val="00E72E89"/>
    <w:rsid w:val="00E74D94"/>
    <w:rsid w:val="00E83C8A"/>
    <w:rsid w:val="00E85AC2"/>
    <w:rsid w:val="00E870B6"/>
    <w:rsid w:val="00E875D0"/>
    <w:rsid w:val="00E92A73"/>
    <w:rsid w:val="00E937AA"/>
    <w:rsid w:val="00E951AF"/>
    <w:rsid w:val="00E959A9"/>
    <w:rsid w:val="00E978C4"/>
    <w:rsid w:val="00EB1D12"/>
    <w:rsid w:val="00EC2C88"/>
    <w:rsid w:val="00EC54F3"/>
    <w:rsid w:val="00EC63E9"/>
    <w:rsid w:val="00EC75EE"/>
    <w:rsid w:val="00ED261D"/>
    <w:rsid w:val="00EE4FC3"/>
    <w:rsid w:val="00EE7A5A"/>
    <w:rsid w:val="00EF09A0"/>
    <w:rsid w:val="00EF6B55"/>
    <w:rsid w:val="00EF7ACF"/>
    <w:rsid w:val="00F02C64"/>
    <w:rsid w:val="00F11F67"/>
    <w:rsid w:val="00F23E1B"/>
    <w:rsid w:val="00F26931"/>
    <w:rsid w:val="00F43FB1"/>
    <w:rsid w:val="00F4502D"/>
    <w:rsid w:val="00F4579D"/>
    <w:rsid w:val="00F51E9A"/>
    <w:rsid w:val="00F568BF"/>
    <w:rsid w:val="00F6244A"/>
    <w:rsid w:val="00F64A29"/>
    <w:rsid w:val="00F70AAA"/>
    <w:rsid w:val="00F75D22"/>
    <w:rsid w:val="00F92451"/>
    <w:rsid w:val="00F924A9"/>
    <w:rsid w:val="00F95AD5"/>
    <w:rsid w:val="00F95B3A"/>
    <w:rsid w:val="00FA1114"/>
    <w:rsid w:val="00FB18BD"/>
    <w:rsid w:val="00FB474C"/>
    <w:rsid w:val="00FC2AB2"/>
    <w:rsid w:val="00FC4847"/>
    <w:rsid w:val="00FD17FB"/>
    <w:rsid w:val="00FD4C5E"/>
    <w:rsid w:val="00FD4E31"/>
    <w:rsid w:val="00FE665B"/>
    <w:rsid w:val="00FF0535"/>
    <w:rsid w:val="00FF0709"/>
    <w:rsid w:val="00FF246D"/>
    <w:rsid w:val="00FF258D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D36B0A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locked/>
    <w:rsid w:val="00D36B0A"/>
    <w:rPr>
      <w:color w:val="0000FF"/>
      <w:u w:val="single"/>
    </w:rPr>
  </w:style>
  <w:style w:type="paragraph" w:styleId="BodyText">
    <w:name w:val="Body Text"/>
    <w:basedOn w:val="Normal"/>
    <w:link w:val="BodyTextChar"/>
    <w:locked/>
    <w:rsid w:val="00D36B0A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D36B0A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D3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3C34"/>
    <w:rPr>
      <w:rFonts w:ascii="Tahoma" w:hAnsi="Tahoma" w:cs="Tahoma"/>
      <w:color w:val="40404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D36B0A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locked/>
    <w:rsid w:val="00D36B0A"/>
    <w:rPr>
      <w:color w:val="0000FF"/>
      <w:u w:val="single"/>
    </w:rPr>
  </w:style>
  <w:style w:type="paragraph" w:styleId="BodyText">
    <w:name w:val="Body Text"/>
    <w:basedOn w:val="Normal"/>
    <w:link w:val="BodyTextChar"/>
    <w:locked/>
    <w:rsid w:val="00D36B0A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D36B0A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D33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3C34"/>
    <w:rPr>
      <w:rFonts w:ascii="Tahoma" w:hAnsi="Tahoma" w:cs="Tahoma"/>
      <w:color w:val="40404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15C1-51FB-40D0-A52B-3CC02685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3B93A0A9</Template>
  <TotalTime>95</TotalTime>
  <Pages>2</Pages>
  <Words>748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Jimmy Gorsovski</cp:lastModifiedBy>
  <cp:revision>3</cp:revision>
  <cp:lastPrinted>2019-07-17T00:26:00Z</cp:lastPrinted>
  <dcterms:created xsi:type="dcterms:W3CDTF">2022-08-05T06:20:00Z</dcterms:created>
  <dcterms:modified xsi:type="dcterms:W3CDTF">2022-08-26T04:22:00Z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