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7259887"/>
    <w:p w14:paraId="05133982" w14:textId="77777777" w:rsidR="00173D41" w:rsidRPr="008F7D2B" w:rsidRDefault="006C2697" w:rsidP="00173D41">
      <w:pPr>
        <w:jc w:val="both"/>
      </w:pPr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DB7A73" w:rsidRPr="007E5097" w:rsidRDefault="00DB7A73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DB7A73" w:rsidRPr="007E5097" w:rsidRDefault="00DB7A73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77777777" w:rsidR="00DB7A73" w:rsidRPr="00694BD4" w:rsidRDefault="00DB7A73" w:rsidP="0078259B">
                            <w:pPr>
                              <w:pStyle w:val="Titlesecondary"/>
                            </w:pPr>
                            <w:r>
                              <w:t>Quarterly Fact Sheet – 30 September 2023</w:t>
                            </w:r>
                          </w:p>
                          <w:p w14:paraId="64E7AEA5" w14:textId="77777777" w:rsidR="00DB7A73" w:rsidRDefault="00DB7A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D1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" o:allowoverlap="f" stroked="f">
                <v:fill opacity="0"/>
                <v:textbox>
                  <w:txbxContent>
                    <w:p w14:paraId="591F1737" w14:textId="77777777" w:rsidR="00DB7A73" w:rsidRPr="007E5097" w:rsidRDefault="00DB7A73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DB7A73" w:rsidRPr="007E5097" w:rsidRDefault="00DB7A73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77777777" w:rsidR="00DB7A73" w:rsidRPr="00694BD4" w:rsidRDefault="00DB7A73" w:rsidP="0078259B">
                      <w:pPr>
                        <w:pStyle w:val="Titlesecondary"/>
                      </w:pPr>
                      <w:r>
                        <w:t>Quarterly Fact Sheet – 30 September 2023</w:t>
                      </w:r>
                    </w:p>
                    <w:p w14:paraId="64E7AEA5" w14:textId="77777777" w:rsidR="00DB7A73" w:rsidRDefault="00DB7A73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77777777" w:rsidR="00173D41" w:rsidRDefault="00173D41" w:rsidP="00831249">
      <w:pPr>
        <w:jc w:val="both"/>
        <w:rPr>
          <w:rFonts w:cs="Arial"/>
        </w:rPr>
      </w:pPr>
      <w:r w:rsidRPr="008F7D2B">
        <w:rPr>
          <w:rFonts w:cs="Arial"/>
        </w:rPr>
        <w:t>Common Fund No. 3 [</w:t>
      </w:r>
      <w:r w:rsidR="00B06495">
        <w:rPr>
          <w:rFonts w:cs="Arial"/>
        </w:rPr>
        <w:t xml:space="preserve">CF-3]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beneficiaries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cash.</w:t>
      </w:r>
      <w:r w:rsidR="005B2394">
        <w:rPr>
          <w:rFonts w:cs="Arial"/>
        </w:rPr>
        <w:t xml:space="preserve"> </w:t>
      </w:r>
    </w:p>
    <w:p w14:paraId="41BE655E" w14:textId="77777777" w:rsidR="005167AE" w:rsidRDefault="005B2394" w:rsidP="00831249">
      <w:pPr>
        <w:jc w:val="both"/>
      </w:pPr>
      <w:r>
        <w:rPr>
          <w:rFonts w:cs="Arial"/>
        </w:rPr>
        <w:br/>
      </w:r>
      <w:r w:rsidR="007B4E8A">
        <w:t>CF-3 operates as a unit trust structure. This means that each beneficiary’s investment</w:t>
      </w:r>
      <w:r w:rsidR="009F1395">
        <w:t xml:space="preserve"> in CF-3</w:t>
      </w:r>
      <w:r w:rsidR="007B4E8A">
        <w:t xml:space="preserve"> is </w:t>
      </w:r>
      <w:r w:rsidR="009F1395">
        <w:t xml:space="preserve">determined via the issue of </w:t>
      </w:r>
      <w:proofErr w:type="gramStart"/>
      <w:r w:rsidR="009F1395">
        <w:t>a number of</w:t>
      </w:r>
      <w:proofErr w:type="gramEnd"/>
      <w:r w:rsidR="009F1395">
        <w:t xml:space="preserve">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beneficiary’s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</w:t>
      </w:r>
      <w:proofErr w:type="gramStart"/>
      <w:r>
        <w:t xml:space="preserve">on </w:t>
      </w:r>
      <w:r w:rsidR="0013666D">
        <w:t>a daily basis</w:t>
      </w:r>
      <w:proofErr w:type="gramEnd"/>
      <w:r w:rsidR="0013666D">
        <w:t>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77777777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</w:p>
    <w:p w14:paraId="58D69390" w14:textId="77777777" w:rsidR="00F81A82" w:rsidRDefault="00F81A82" w:rsidP="00BA65B1">
      <w:pPr>
        <w:jc w:val="both"/>
      </w:pPr>
    </w:p>
    <w:p w14:paraId="3AE7DB4C" w14:textId="5E1E1232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$45,215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323B735E" w:rsidR="00794F30" w:rsidRPr="00794F30" w:rsidRDefault="00794F30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Calibri" w:eastAsia="Times New Roman" w:hAnsi="Calibri" w:cs="Calibri"/>
          <w:noProof/>
          <w:color w:val="auto"/>
          <w:szCs w:val="22"/>
          <w:lang w:eastAsia="en-AU"/>
        </w:rPr>
        <w:drawing>
          <wp:inline distT="0" distB="0" distL="0" distR="0" wp14:anchorId="1607E709" wp14:editId="6AF5251C">
            <wp:extent cx="2976563" cy="2619375"/>
            <wp:effectExtent l="0" t="0" r="0" b="0"/>
            <wp:docPr id="4" name="Picture 4" descr="Line graph showing the increasing value of money invested in Common Fund No. 3. The value fluctuates with significant dips in 2008 and 2020 but has an overall positive tr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ine graph showing the increasing value of money invested in Common Fund No. 3. The value fluctuates with significant dips in 2008 and 2020 but has an overall positive tren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36" cy="262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Objective: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 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Size:</w:t>
            </w:r>
          </w:p>
        </w:tc>
        <w:tc>
          <w:tcPr>
            <w:tcW w:w="2771" w:type="dxa"/>
            <w:shd w:val="pct20" w:color="000000" w:fill="FFFFFF"/>
          </w:tcPr>
          <w:p w14:paraId="195B8B74" w14:textId="77777777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20313C">
              <w:rPr>
                <w:rFonts w:cs="Arial"/>
                <w:szCs w:val="22"/>
              </w:rPr>
              <w:t>7</w:t>
            </w:r>
            <w:r w:rsidR="002E4A20">
              <w:rPr>
                <w:rFonts w:cs="Arial"/>
                <w:szCs w:val="22"/>
              </w:rPr>
              <w:t>27.6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Date: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Stocks:</w:t>
            </w:r>
          </w:p>
        </w:tc>
        <w:tc>
          <w:tcPr>
            <w:tcW w:w="2771" w:type="dxa"/>
            <w:shd w:val="pct20" w:color="000000" w:fill="FFFFFF"/>
          </w:tcPr>
          <w:p w14:paraId="16FD8774" w14:textId="77777777" w:rsidR="00173D41" w:rsidRPr="00B06495" w:rsidRDefault="001F3D2B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Distribution: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77777777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  <w:r w:rsidRPr="00B06495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77777777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Price:</w:t>
            </w:r>
          </w:p>
        </w:tc>
        <w:tc>
          <w:tcPr>
            <w:tcW w:w="2771" w:type="dxa"/>
            <w:shd w:val="clear" w:color="auto" w:fill="F2F2F2"/>
          </w:tcPr>
          <w:p w14:paraId="6500D348" w14:textId="77777777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2E4A20">
              <w:rPr>
                <w:rFonts w:cs="Arial"/>
                <w:szCs w:val="22"/>
              </w:rPr>
              <w:t>1.7668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Costs:</w:t>
            </w:r>
          </w:p>
        </w:tc>
        <w:tc>
          <w:tcPr>
            <w:tcW w:w="2771" w:type="dxa"/>
            <w:shd w:val="clear" w:color="auto" w:fill="BFBFBF"/>
          </w:tcPr>
          <w:p w14:paraId="28C17324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No direct fees are charged for the management of CF-3. However, as part of the Funds in Court cost recovery process, beneficiaries with an allocation to both CF-3 and Common Fund No. 2 [CF-2] will be credited with a CF-2 annual crediting rate, that is, 0.20% less than the crediting rate for beneficiaries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607AC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DB7A73" w:rsidRPr="005B3541" w:rsidRDefault="00DB7A73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77777777" w:rsidR="00DB7A73" w:rsidRPr="005B3541" w:rsidRDefault="00DB7A73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For further information on the investment risks associated with CF-3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E41B"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" fillcolor="maroon" stroked="f">
                <v:textbox>
                  <w:txbxContent>
                    <w:p w14:paraId="237989E6" w14:textId="77777777" w:rsidR="00DB7A73" w:rsidRPr="005B3541" w:rsidRDefault="00DB7A73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77777777" w:rsidR="00DB7A73" w:rsidRPr="005B3541" w:rsidRDefault="00DB7A73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the investment risks associated with CF-3 and how FIC seeks to minimise these risks, please refer to the relevant Information Guide on our website at </w:t>
                      </w:r>
                      <w:proofErr w:type="gramStart"/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www.fundsincourt.vic.gov.au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7842D0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EA5521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33316C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As at</w:t>
            </w:r>
          </w:p>
          <w:p w14:paraId="42C46F7E" w14:textId="77777777" w:rsidR="005A3832" w:rsidRPr="0033316C" w:rsidRDefault="005A3832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  <w:r w:rsidR="001C198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0</w:t>
            </w:r>
            <w:r w:rsidR="00594355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1C198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September</w:t>
            </w:r>
            <w:r w:rsidR="00E75EEE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 xml:space="preserve"> </w:t>
            </w:r>
            <w:r w:rsidR="009128DB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202</w:t>
            </w:r>
            <w:r w:rsidR="00F858E4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Qtr </w:t>
            </w:r>
          </w:p>
          <w:p w14:paraId="6D14804B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1 Yr</w:t>
            </w:r>
          </w:p>
          <w:p w14:paraId="5142912A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3 Yr </w:t>
            </w:r>
          </w:p>
          <w:p w14:paraId="6B8BA6F7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5 Yr </w:t>
            </w:r>
          </w:p>
          <w:p w14:paraId="4A6EE430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7 Yr </w:t>
            </w:r>
          </w:p>
          <w:p w14:paraId="5977352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33316C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10 Yr </w:t>
            </w:r>
          </w:p>
          <w:p w14:paraId="0C8B9758" w14:textId="77777777" w:rsidR="005A3832" w:rsidRPr="0033316C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Since Inc.^ </w:t>
            </w:r>
          </w:p>
          <w:p w14:paraId="5F962731" w14:textId="77777777" w:rsidR="005A3832" w:rsidRPr="0033316C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</w:pPr>
            <w:r w:rsidRPr="0033316C">
              <w:rPr>
                <w:rFonts w:ascii="Arial" w:hAnsi="Arial" w:cs="Arial"/>
                <w:b/>
                <w:bCs/>
                <w:iCs/>
                <w:color w:val="FFFFFF"/>
                <w:sz w:val="18"/>
                <w:szCs w:val="18"/>
              </w:rPr>
              <w:t xml:space="preserve">% p.a. </w:t>
            </w:r>
          </w:p>
        </w:tc>
      </w:tr>
      <w:tr w:rsidR="005A3832" w:rsidRPr="0033316C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F26E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2D2EA2" w14:textId="77777777" w:rsidR="005A3832" w:rsidRPr="0033316C" w:rsidRDefault="001C198E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-1</w:t>
            </w:r>
            <w:r w:rsidR="00500A07">
              <w:rPr>
                <w:rFonts w:ascii="Arial" w:hAnsi="Arial" w:cs="Arial"/>
                <w:bCs/>
                <w:sz w:val="18"/>
                <w:szCs w:val="1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3067CA0" w14:textId="77777777" w:rsidR="005A3832" w:rsidRPr="0033316C" w:rsidRDefault="001C198E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9.9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C261CCC" w14:textId="77777777" w:rsidR="005A3832" w:rsidRPr="0033316C" w:rsidRDefault="00500A07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1C198E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.3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1FEC9B" w14:textId="77777777" w:rsidR="005A3832" w:rsidRPr="0033316C" w:rsidRDefault="001C198E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6.6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01337BE" w14:textId="77777777" w:rsidR="005A3832" w:rsidRPr="0033316C" w:rsidRDefault="001C19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7.3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1EA5A6" w14:textId="77777777" w:rsidR="005A3832" w:rsidRPr="0033316C" w:rsidRDefault="001C198E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6.2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33316C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E11F045" w14:textId="77777777" w:rsidR="005A3832" w:rsidRPr="0033316C" w:rsidRDefault="001C19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8.2</w:t>
            </w:r>
          </w:p>
        </w:tc>
      </w:tr>
      <w:tr w:rsidR="005A3832" w:rsidRPr="0033316C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77777777" w:rsidR="005A3832" w:rsidRPr="0033316C" w:rsidRDefault="001C198E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-0.6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77777777" w:rsidR="005A3832" w:rsidRPr="0033316C" w:rsidRDefault="005D54A9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1C198E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1C198E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77777777" w:rsidR="005A3832" w:rsidRPr="0033316C" w:rsidRDefault="00500A07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="001C198E">
              <w:rPr>
                <w:rFonts w:ascii="Arial" w:hAnsi="Arial" w:cs="Arial"/>
                <w:bCs/>
                <w:sz w:val="18"/>
                <w:szCs w:val="18"/>
                <w:lang w:val="en-US"/>
              </w:rPr>
              <w:t>2.0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77777777" w:rsidR="005A3832" w:rsidRPr="0033316C" w:rsidRDefault="001C19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77777777" w:rsidR="005A3832" w:rsidRPr="0033316C" w:rsidRDefault="001C19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8.2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77777777" w:rsidR="005A3832" w:rsidRPr="0033316C" w:rsidRDefault="001C198E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7.2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77777777" w:rsidR="005A3832" w:rsidRPr="0033316C" w:rsidRDefault="001C198E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8.3</w:t>
            </w:r>
          </w:p>
        </w:tc>
      </w:tr>
      <w:tr w:rsidR="005A3832" w:rsidRPr="0033316C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33316C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77777777" w:rsidR="005A3832" w:rsidRPr="0033316C" w:rsidRDefault="006B08C7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77777777" w:rsidR="005A3832" w:rsidRPr="0033316C" w:rsidRDefault="00554EA1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-4.3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77777777" w:rsidR="005A3832" w:rsidRPr="0033316C" w:rsidRDefault="005D54A9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77777777" w:rsidR="005A3832" w:rsidRPr="0033316C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77777777" w:rsidR="005A3832" w:rsidRPr="0033316C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0.9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77777777" w:rsidR="005A3832" w:rsidRPr="0033316C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554EA1">
              <w:rPr>
                <w:rFonts w:ascii="Arial" w:hAnsi="Arial" w:cs="Arial"/>
                <w:bCs/>
                <w:sz w:val="18"/>
                <w:szCs w:val="18"/>
                <w:lang w:val="en-US"/>
              </w:rPr>
              <w:t>1.0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77777777" w:rsidR="005A3832" w:rsidRPr="0033316C" w:rsidRDefault="005D54A9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B0044E">
              <w:rPr>
                <w:rFonts w:ascii="Arial" w:hAnsi="Arial" w:cs="Arial"/>
                <w:bCs/>
                <w:sz w:val="18"/>
                <w:szCs w:val="18"/>
                <w:lang w:val="en-US"/>
              </w:rPr>
              <w:t>0.</w:t>
            </w:r>
            <w:r w:rsidR="007A6776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5A3832" w:rsidRPr="0033316C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33316C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3316C">
              <w:rPr>
                <w:rFonts w:ascii="Arial" w:hAnsi="Arial" w:cs="Arial"/>
                <w:bCs/>
                <w:sz w:val="18"/>
                <w:szCs w:val="18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77777777" w:rsidR="005A3832" w:rsidRPr="0033316C" w:rsidRDefault="00E0777F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-0.8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77777777" w:rsidR="005A3832" w:rsidRPr="0033316C" w:rsidRDefault="00E0777F" w:rsidP="00731FF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11.1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77777777" w:rsidR="005A3832" w:rsidRPr="0033316C" w:rsidRDefault="00E0777F" w:rsidP="00731FF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13</w:t>
            </w:r>
            <w:r w:rsidR="00D47370">
              <w:rPr>
                <w:rFonts w:ascii="Arial" w:hAnsi="Arial" w:cs="Arial"/>
                <w:bCs/>
                <w:sz w:val="18"/>
                <w:szCs w:val="18"/>
                <w:lang w:val="en-US"/>
              </w:rPr>
              <w:t>.0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77777777" w:rsidR="005A3832" w:rsidRPr="0033316C" w:rsidRDefault="00E0777F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8.3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77777777" w:rsidR="005A3832" w:rsidRPr="0033316C" w:rsidRDefault="00E0777F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9.1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77777777" w:rsidR="005A3832" w:rsidRPr="0033316C" w:rsidRDefault="00E0777F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7.9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77777777" w:rsidR="005A3832" w:rsidRPr="0033316C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E0777F">
              <w:rPr>
                <w:rFonts w:ascii="Arial" w:hAnsi="Arial" w:cs="Arial"/>
                <w:bCs/>
                <w:sz w:val="18"/>
                <w:szCs w:val="18"/>
                <w:lang w:val="en-US"/>
              </w:rPr>
              <w:t>9.9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33316C">
        <w:rPr>
          <w:rFonts w:cs="Arial"/>
          <w:i/>
          <w:sz w:val="18"/>
          <w:szCs w:val="18"/>
        </w:rPr>
        <w:t xml:space="preserve">^ </w:t>
      </w:r>
      <w:r w:rsidR="009A0F6B" w:rsidRPr="0033316C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7842D0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74003D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17"/>
      </w:tblGrid>
      <w:tr w:rsidR="00440837" w:rsidRPr="002C7428" w14:paraId="12DF2AFC" w14:textId="77777777" w:rsidTr="002C7428">
        <w:trPr>
          <w:trHeight w:val="241"/>
        </w:trPr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2C7428" w:rsidRDefault="00876705" w:rsidP="00EC45D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COMPANY NAME</w:t>
            </w:r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2C7428" w:rsidRDefault="0008177A" w:rsidP="002C7428">
            <w:pPr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2C7428">
              <w:rPr>
                <w:rFonts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F011E0" w:rsidRPr="002C7428" w14:paraId="1334BF64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680C371" w14:textId="77777777" w:rsidR="00F011E0" w:rsidRPr="00DA6266" w:rsidRDefault="00A41940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BHP GROUP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4D67AE0" w14:textId="77777777" w:rsidR="00F011E0" w:rsidRPr="00DA6266" w:rsidRDefault="0023055A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9214B">
              <w:rPr>
                <w:color w:val="000000"/>
                <w:sz w:val="16"/>
                <w:szCs w:val="16"/>
              </w:rPr>
              <w:t>3.</w:t>
            </w:r>
            <w:r w:rsidR="00A41940">
              <w:rPr>
                <w:color w:val="000000"/>
                <w:sz w:val="16"/>
                <w:szCs w:val="16"/>
              </w:rPr>
              <w:t>19</w:t>
            </w:r>
          </w:p>
        </w:tc>
      </w:tr>
      <w:tr w:rsidR="00F011E0" w:rsidRPr="002C7428" w14:paraId="5201FB8E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99F14E6" w14:textId="77777777" w:rsidR="00F011E0" w:rsidRPr="00DA6266" w:rsidRDefault="00A41940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CSL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6F1B6E4" w14:textId="77777777" w:rsidR="00F011E0" w:rsidRPr="00DA6266" w:rsidRDefault="007F7DD1" w:rsidP="00A419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41940">
              <w:rPr>
                <w:color w:val="000000"/>
                <w:sz w:val="16"/>
                <w:szCs w:val="16"/>
              </w:rPr>
              <w:t>2.39</w:t>
            </w:r>
          </w:p>
        </w:tc>
      </w:tr>
      <w:tr w:rsidR="00F011E0" w:rsidRPr="002C7428" w14:paraId="78A2F718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311C4F4D" w14:textId="77777777" w:rsidR="00F011E0" w:rsidRPr="00DA6266" w:rsidRDefault="007F7DD1" w:rsidP="000D40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COMMONWEALTH </w:t>
            </w:r>
            <w:r w:rsidRPr="000D40E2">
              <w:rPr>
                <w:color w:val="000000"/>
                <w:sz w:val="16"/>
                <w:szCs w:val="16"/>
              </w:rPr>
              <w:t>BANK OF AUSTRALIA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61B1936" w14:textId="77777777" w:rsidR="00F011E0" w:rsidRPr="00DA6266" w:rsidRDefault="00A41940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9.25</w:t>
            </w:r>
          </w:p>
        </w:tc>
      </w:tr>
      <w:tr w:rsidR="00F011E0" w:rsidRPr="002C7428" w14:paraId="38BD6A3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EEE42B1" w14:textId="77777777" w:rsidR="00F011E0" w:rsidRPr="00DA6266" w:rsidRDefault="00CE1151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WOOLWORTHS </w:t>
            </w:r>
            <w:r w:rsidRPr="00DA6266">
              <w:rPr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581343A" w14:textId="77777777" w:rsidR="00F011E0" w:rsidRPr="00DA6266" w:rsidRDefault="00A41940" w:rsidP="00F011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F011E0" w:rsidRPr="002C7428" w14:paraId="76C9B16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559F9A77" w14:textId="77777777" w:rsidR="00F011E0" w:rsidRPr="00DA6266" w:rsidRDefault="007F7DD1" w:rsidP="00F011E0">
            <w:pPr>
              <w:rPr>
                <w:color w:val="000000"/>
                <w:sz w:val="16"/>
                <w:szCs w:val="16"/>
              </w:rPr>
            </w:pPr>
            <w:r w:rsidRPr="00781897">
              <w:rPr>
                <w:color w:val="000000"/>
                <w:sz w:val="16"/>
                <w:szCs w:val="16"/>
              </w:rPr>
              <w:t>MACQUARIE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6F597B4" w14:textId="77777777" w:rsidR="00F011E0" w:rsidRPr="00DA6266" w:rsidRDefault="007F7DD1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A41940">
              <w:rPr>
                <w:color w:val="000000"/>
                <w:sz w:val="16"/>
                <w:szCs w:val="16"/>
              </w:rPr>
              <w:t>23</w:t>
            </w:r>
          </w:p>
        </w:tc>
      </w:tr>
      <w:tr w:rsidR="00F011E0" w:rsidRPr="002C7428" w14:paraId="2161E345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2A699AD" w14:textId="77777777" w:rsidR="00F011E0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JAMES HARDIE INDUSTRIES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C62479B" w14:textId="77777777" w:rsidR="00F011E0" w:rsidRPr="00DA6266" w:rsidRDefault="00DB7A73" w:rsidP="00CE11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5.14</w:t>
            </w:r>
          </w:p>
        </w:tc>
      </w:tr>
      <w:tr w:rsidR="007077F0" w:rsidRPr="002C7428" w14:paraId="5D23827E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3589F5D" w14:textId="77777777" w:rsidR="007077F0" w:rsidRPr="00DA6266" w:rsidRDefault="00DB7A73" w:rsidP="00AD7FF1">
            <w:pPr>
              <w:rPr>
                <w:color w:val="000000"/>
                <w:sz w:val="16"/>
                <w:szCs w:val="16"/>
              </w:rPr>
            </w:pPr>
            <w:r w:rsidRPr="00920246">
              <w:rPr>
                <w:color w:val="000000"/>
                <w:sz w:val="16"/>
                <w:szCs w:val="16"/>
              </w:rPr>
              <w:t>NATIONAL AUSTRALIA BANK</w:t>
            </w:r>
            <w:r w:rsidR="009202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39E68FB2" w14:textId="77777777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DB7A73">
              <w:rPr>
                <w:color w:val="000000"/>
                <w:sz w:val="16"/>
                <w:szCs w:val="16"/>
              </w:rPr>
              <w:t>69</w:t>
            </w:r>
          </w:p>
        </w:tc>
      </w:tr>
      <w:tr w:rsidR="007077F0" w:rsidRPr="002C7428" w14:paraId="1BE3FB74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6520C04" w14:textId="77777777" w:rsidR="007077F0" w:rsidRPr="00DA6266" w:rsidRDefault="00DB7A73" w:rsidP="00AD7FF1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TELSTRA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4A3D30B" w14:textId="77777777" w:rsidR="007077F0" w:rsidRPr="00DA6266" w:rsidRDefault="007F7DD1" w:rsidP="00A718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DB7A73">
              <w:rPr>
                <w:color w:val="000000"/>
                <w:sz w:val="16"/>
                <w:szCs w:val="16"/>
              </w:rPr>
              <w:t>57</w:t>
            </w:r>
          </w:p>
        </w:tc>
      </w:tr>
      <w:tr w:rsidR="007077F0" w:rsidRPr="002C7428" w14:paraId="34C1C861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14325C4C" w14:textId="77777777" w:rsidR="007077F0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TRANSURBAN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6B0B8A33" w14:textId="77777777" w:rsidR="007077F0" w:rsidRPr="00DA6266" w:rsidRDefault="00DB7A73" w:rsidP="00C6090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</w:t>
            </w:r>
          </w:p>
        </w:tc>
      </w:tr>
      <w:tr w:rsidR="00AD7FF1" w:rsidRPr="002C7428" w14:paraId="082E83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93102D7" w14:textId="77777777" w:rsidR="00AD7FF1" w:rsidRPr="00DA6266" w:rsidRDefault="00C6090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SANTOS LIMITED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8469E2A" w14:textId="77777777" w:rsidR="00AD7FF1" w:rsidRPr="00DA6266" w:rsidRDefault="00DB7A73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</w:t>
            </w:r>
          </w:p>
        </w:tc>
      </w:tr>
      <w:tr w:rsidR="00AD7FF1" w:rsidRPr="002C7428" w14:paraId="638D26E3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7B7B9CAF" w14:textId="77777777" w:rsidR="00AD7FF1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GOODMAN GROUP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036DB70" w14:textId="77777777" w:rsidR="00AD7FF1" w:rsidRPr="00DA6266" w:rsidRDefault="00DB7A73" w:rsidP="00DA626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</w:t>
            </w:r>
          </w:p>
        </w:tc>
      </w:tr>
      <w:tr w:rsidR="00AD7FF1" w:rsidRPr="002C7428" w14:paraId="68912E71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3919AC14" w14:textId="77777777" w:rsidR="00AD7FF1" w:rsidRPr="00DA6266" w:rsidRDefault="00DB7A73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COMPUTERSHARE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28EB5E66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</w:tr>
      <w:tr w:rsidR="00AD7FF1" w:rsidRPr="002C7428" w14:paraId="267AF880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4AF9884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TINTO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7F7AD644" w14:textId="77777777" w:rsidR="00AD7FF1" w:rsidRPr="00DA6266" w:rsidRDefault="00C60902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  <w:r w:rsidR="00877BC8">
              <w:rPr>
                <w:color w:val="000000"/>
                <w:sz w:val="16"/>
                <w:szCs w:val="16"/>
              </w:rPr>
              <w:t>47</w:t>
            </w:r>
          </w:p>
        </w:tc>
      </w:tr>
      <w:tr w:rsidR="00AD7FF1" w:rsidRPr="002C7428" w14:paraId="7EDFA9F9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569BFB79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CASH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390B3AE8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3.12</w:t>
            </w:r>
          </w:p>
        </w:tc>
      </w:tr>
      <w:tr w:rsidR="00AD7FF1" w:rsidRPr="002C7428" w14:paraId="213F339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6588B189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SEEK LIMITED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0FCD2E" w14:textId="77777777" w:rsidR="00AD7FF1" w:rsidRPr="00DA6266" w:rsidRDefault="005D3137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</w:t>
            </w:r>
          </w:p>
        </w:tc>
      </w:tr>
      <w:tr w:rsidR="00AD7FF1" w:rsidRPr="002C7428" w14:paraId="1639DE9C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10AA94C1" w14:textId="77777777" w:rsidR="00AD7FF1" w:rsidRPr="00DA6266" w:rsidRDefault="00595661" w:rsidP="00AD7FF1">
            <w:pPr>
              <w:rPr>
                <w:color w:val="000000"/>
                <w:sz w:val="16"/>
                <w:szCs w:val="16"/>
              </w:rPr>
            </w:pPr>
            <w:r w:rsidRPr="000D40E2">
              <w:rPr>
                <w:color w:val="000000"/>
                <w:sz w:val="16"/>
                <w:szCs w:val="16"/>
              </w:rPr>
              <w:t>WESTPAC BANKING CORPORATION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7B19575F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</w:t>
            </w:r>
          </w:p>
        </w:tc>
      </w:tr>
      <w:tr w:rsidR="00AD7FF1" w:rsidRPr="002C7428" w14:paraId="735DA6B7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51DCD54" w14:textId="77777777" w:rsidR="00AD7FF1" w:rsidRPr="00DA6266" w:rsidRDefault="00595661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AMCOR PLC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235AF45F" w14:textId="77777777" w:rsidR="00AD7FF1" w:rsidRPr="00DA6266" w:rsidRDefault="00877BC8" w:rsidP="00AD7F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</w:t>
            </w:r>
          </w:p>
        </w:tc>
      </w:tr>
      <w:tr w:rsidR="00023972" w:rsidRPr="002C7428" w14:paraId="40AC1A4F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6AD1C240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 w:rsidRPr="00DA6266">
              <w:rPr>
                <w:color w:val="000000"/>
                <w:sz w:val="16"/>
                <w:szCs w:val="16"/>
              </w:rPr>
              <w:t>AUSTRALIA &amp; NEW ZEALAND BANK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0C15F030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</w:t>
            </w:r>
          </w:p>
        </w:tc>
      </w:tr>
      <w:tr w:rsidR="00023972" w:rsidRPr="002C7428" w14:paraId="2C3502C5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257A1D5F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FISHER &amp; PAYKEL HEALTHCARE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58C582BA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</w:t>
            </w:r>
          </w:p>
        </w:tc>
      </w:tr>
      <w:tr w:rsidR="00023972" w:rsidRPr="002C7428" w14:paraId="41073E38" w14:textId="77777777" w:rsidTr="00DA6266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08B81A4F" w14:textId="77777777" w:rsidR="00023972" w:rsidRPr="00DA6266" w:rsidRDefault="00B73BA5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WOODSIDE ENERGY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19D5FAE7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023972" w:rsidRPr="002C7428" w14:paraId="33EEFD2A" w14:textId="77777777" w:rsidTr="00DA6266">
        <w:trPr>
          <w:trHeight w:val="241"/>
        </w:trPr>
        <w:tc>
          <w:tcPr>
            <w:tcW w:w="0" w:type="auto"/>
            <w:shd w:val="clear" w:color="auto" w:fill="CCCCCC"/>
            <w:vAlign w:val="bottom"/>
          </w:tcPr>
          <w:p w14:paraId="4DEABD10" w14:textId="77777777" w:rsidR="00023972" w:rsidRPr="00DA6266" w:rsidRDefault="00B73BA5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ASX LTD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163FD08" w14:textId="77777777" w:rsidR="00023972" w:rsidRPr="00DA6266" w:rsidRDefault="00877BC8" w:rsidP="00C33B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</w:tr>
      <w:tr w:rsidR="00B73BA5" w:rsidRPr="00DA6266" w14:paraId="50C54467" w14:textId="77777777" w:rsidTr="00C66551">
        <w:trPr>
          <w:trHeight w:val="241"/>
        </w:trPr>
        <w:tc>
          <w:tcPr>
            <w:tcW w:w="0" w:type="auto"/>
            <w:shd w:val="clear" w:color="auto" w:fill="E6E6E6"/>
            <w:vAlign w:val="bottom"/>
          </w:tcPr>
          <w:p w14:paraId="72730541" w14:textId="77777777" w:rsidR="00B73BA5" w:rsidRPr="00DA6266" w:rsidRDefault="00B73BA5" w:rsidP="00C665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LENDLEASE GROUP</w:t>
            </w:r>
          </w:p>
        </w:tc>
        <w:tc>
          <w:tcPr>
            <w:tcW w:w="0" w:type="auto"/>
            <w:shd w:val="clear" w:color="auto" w:fill="E6E6E6"/>
            <w:vAlign w:val="bottom"/>
          </w:tcPr>
          <w:p w14:paraId="419D7604" w14:textId="77777777" w:rsidR="00B73BA5" w:rsidRPr="00DA6266" w:rsidRDefault="00877BC8" w:rsidP="00C665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</w:tr>
    </w:tbl>
    <w:p w14:paraId="3ADE122A" w14:textId="77777777" w:rsidR="001A5212" w:rsidRPr="00801A7C" w:rsidRDefault="00560ED9" w:rsidP="007842D0">
      <w:pPr>
        <w:rPr>
          <w:rFonts w:cs="Arial"/>
          <w:bCs/>
          <w:color w:val="943634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0E7C755E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2830830" cy="897255"/>
                <wp:effectExtent l="0" t="0" r="762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DB7A73" w:rsidRPr="0033316C" w:rsidRDefault="00DB7A73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DB7A73" w:rsidRPr="0033316C" w:rsidRDefault="00DB7A73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77777777" w:rsidR="00DB7A73" w:rsidRPr="0033316C" w:rsidRDefault="00DB7A73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3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DB7A73" w:rsidRPr="0033316C" w:rsidRDefault="00DB7A73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EDEE" id="Rectangle 8" o:spid="_x0000_s1028" style="position:absolute;margin-left:-15.85pt;margin-top:17.6pt;width:222.9pt;height: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" fillcolor="maroon" stroked="f">
                <v:textbox>
                  <w:txbxContent>
                    <w:p w14:paraId="6E1ED879" w14:textId="77777777" w:rsidR="00DB7A73" w:rsidRPr="0033316C" w:rsidRDefault="00DB7A73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DB7A73" w:rsidRPr="0033316C" w:rsidRDefault="00DB7A73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77777777" w:rsidR="00DB7A73" w:rsidRPr="0033316C" w:rsidRDefault="00DB7A73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4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www.fundsincourt.vic.gov.au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DB7A73" w:rsidRPr="0033316C" w:rsidRDefault="00DB7A73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</v:rect>
            </w:pict>
          </mc:Fallback>
        </mc:AlternateContent>
      </w:r>
      <w:r w:rsidR="00EC7D24"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4EEB1D23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 and materials. 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77777777" w:rsidR="00C55B5B" w:rsidRDefault="00560ED9" w:rsidP="007842D0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57AF4994" wp14:editId="5EB7AB3F">
            <wp:extent cx="3023419" cy="2268187"/>
            <wp:effectExtent l="0" t="0" r="5715" b="0"/>
            <wp:docPr id="10" name="Picture 10" descr="Pie graph. Financials 25.08%. Materials 24.21%. Health care 14.45%. Communication services 7.64%. Energy 6.32%. Consumer staples 6.00%. Real estate 5.11%. Industrials 4.43%. Information technology 3.64%. Cash and equivalents 3.1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ie graph. Financials 25.08%. Materials 24.21%. Health care 14.45%. Communication services 7.64%. Energy 6.32%. Consumer staples 6.00%. Real estate 5.11%. Industrials 4.43%. Information technology 3.64%. Cash and equivalents 3.12%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51" cy="2277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DCECA" w14:textId="77777777" w:rsidR="00B517C4" w:rsidRPr="0088430B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941A86">
        <w:rPr>
          <w:rFonts w:cs="Arial"/>
          <w:b/>
          <w:color w:val="943634"/>
          <w:szCs w:val="22"/>
        </w:rPr>
        <w:t>Portfolio Activity</w:t>
      </w:r>
    </w:p>
    <w:p w14:paraId="3062C75E" w14:textId="77777777" w:rsidR="00A31624" w:rsidRDefault="00A31624" w:rsidP="007C192D">
      <w:pPr>
        <w:jc w:val="both"/>
        <w:rPr>
          <w:rFonts w:cs="Arial"/>
        </w:rPr>
      </w:pPr>
    </w:p>
    <w:p w14:paraId="54C4068A" w14:textId="152C9728" w:rsidR="001A2711" w:rsidRDefault="009B0342" w:rsidP="001A2711">
      <w:pPr>
        <w:jc w:val="both"/>
        <w:rPr>
          <w:rFonts w:cs="Arial"/>
          <w:szCs w:val="22"/>
          <w:lang w:val="en-US"/>
        </w:rPr>
      </w:pPr>
      <w:r>
        <w:rPr>
          <w:rFonts w:cs="Arial"/>
          <w:color w:val="auto"/>
          <w:szCs w:val="22"/>
          <w:lang w:val="en-US"/>
        </w:rPr>
        <w:t>D</w:t>
      </w:r>
      <w:r w:rsidR="00A31624">
        <w:rPr>
          <w:rFonts w:cs="Arial"/>
          <w:color w:val="auto"/>
          <w:szCs w:val="22"/>
          <w:lang w:val="en-US"/>
        </w:rPr>
        <w:t xml:space="preserve">uring the </w:t>
      </w:r>
      <w:r>
        <w:rPr>
          <w:rFonts w:cs="Arial"/>
          <w:color w:val="auto"/>
          <w:szCs w:val="22"/>
          <w:lang w:val="en-US"/>
        </w:rPr>
        <w:t>September</w:t>
      </w:r>
      <w:r w:rsidR="00A31624">
        <w:rPr>
          <w:rFonts w:cs="Arial"/>
          <w:color w:val="auto"/>
          <w:szCs w:val="22"/>
          <w:lang w:val="en-US"/>
        </w:rPr>
        <w:t xml:space="preserve"> 2023 quarter</w:t>
      </w:r>
      <w:r>
        <w:rPr>
          <w:rFonts w:cs="Arial"/>
          <w:color w:val="auto"/>
          <w:szCs w:val="22"/>
          <w:lang w:val="en-US"/>
        </w:rPr>
        <w:t xml:space="preserve">, the Fund established a new holding in Fisher &amp; Paykel Healthcare Corporation Limited, which is a world leader in medical devices and systems for use in respiratory care, acute care, surgery and in the treatment of obstructive sleep apnea. </w:t>
      </w:r>
      <w:r w:rsidR="00810928">
        <w:rPr>
          <w:rFonts w:cs="Arial"/>
          <w:color w:val="auto"/>
          <w:szCs w:val="22"/>
          <w:lang w:val="en-US"/>
        </w:rPr>
        <w:t>The Fund also added to the existing holding in Goodman Group. The purchases of these holdings were funded by selling the total amount of holdings in Coles Group Ltd.</w:t>
      </w:r>
    </w:p>
    <w:sectPr w:rsidR="001A2711" w:rsidSect="00B15EB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D772" w14:textId="77777777" w:rsidR="007A06C1" w:rsidRDefault="007A06C1" w:rsidP="00C83030">
      <w:r>
        <w:separator/>
      </w:r>
    </w:p>
  </w:endnote>
  <w:endnote w:type="continuationSeparator" w:id="0">
    <w:p w14:paraId="2722C48A" w14:textId="77777777" w:rsidR="007A06C1" w:rsidRDefault="007A06C1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347" w14:textId="77777777" w:rsidR="00DB7A73" w:rsidRPr="0094257B" w:rsidRDefault="00DB7A73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DB9EF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E0777F">
      <w:rPr>
        <w:rStyle w:val="PageNumber"/>
        <w:noProof/>
      </w:rPr>
      <w:t>2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3821" w14:textId="77777777" w:rsidR="00DB7A73" w:rsidRDefault="00DB7A73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B1CE0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8C43" w14:textId="77777777" w:rsidR="007A06C1" w:rsidRDefault="007A06C1" w:rsidP="00C83030">
      <w:r>
        <w:separator/>
      </w:r>
    </w:p>
  </w:footnote>
  <w:footnote w:type="continuationSeparator" w:id="0">
    <w:p w14:paraId="4401AF66" w14:textId="77777777" w:rsidR="007A06C1" w:rsidRDefault="007A06C1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9FD1" w14:textId="77777777" w:rsidR="00DB7A73" w:rsidRDefault="00DB7A73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0655" w14:textId="77777777" w:rsidR="00DB7A73" w:rsidRPr="00710119" w:rsidRDefault="00DB7A73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139269">
    <w:abstractNumId w:val="9"/>
  </w:num>
  <w:num w:numId="2" w16cid:durableId="280261879">
    <w:abstractNumId w:val="7"/>
  </w:num>
  <w:num w:numId="3" w16cid:durableId="1251163319">
    <w:abstractNumId w:val="6"/>
  </w:num>
  <w:num w:numId="4" w16cid:durableId="1400592026">
    <w:abstractNumId w:val="5"/>
  </w:num>
  <w:num w:numId="5" w16cid:durableId="506166530">
    <w:abstractNumId w:val="4"/>
  </w:num>
  <w:num w:numId="6" w16cid:durableId="604000239">
    <w:abstractNumId w:val="8"/>
  </w:num>
  <w:num w:numId="7" w16cid:durableId="1991783357">
    <w:abstractNumId w:val="3"/>
  </w:num>
  <w:num w:numId="8" w16cid:durableId="1355962171">
    <w:abstractNumId w:val="2"/>
  </w:num>
  <w:num w:numId="9" w16cid:durableId="1831141675">
    <w:abstractNumId w:val="1"/>
  </w:num>
  <w:num w:numId="10" w16cid:durableId="101037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9"/>
    <w:rsid w:val="0000041F"/>
    <w:rsid w:val="000058B7"/>
    <w:rsid w:val="00006425"/>
    <w:rsid w:val="000064F8"/>
    <w:rsid w:val="0001507D"/>
    <w:rsid w:val="00015584"/>
    <w:rsid w:val="000225C3"/>
    <w:rsid w:val="0002314F"/>
    <w:rsid w:val="00023972"/>
    <w:rsid w:val="00024051"/>
    <w:rsid w:val="0002572C"/>
    <w:rsid w:val="00025A86"/>
    <w:rsid w:val="000370E7"/>
    <w:rsid w:val="00037D98"/>
    <w:rsid w:val="000425ED"/>
    <w:rsid w:val="000431DB"/>
    <w:rsid w:val="0005146A"/>
    <w:rsid w:val="000523E4"/>
    <w:rsid w:val="00053219"/>
    <w:rsid w:val="00053D62"/>
    <w:rsid w:val="00056DE6"/>
    <w:rsid w:val="000609B2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638A"/>
    <w:rsid w:val="000B6A43"/>
    <w:rsid w:val="000B6B3B"/>
    <w:rsid w:val="000C0617"/>
    <w:rsid w:val="000C0A18"/>
    <w:rsid w:val="000C112A"/>
    <w:rsid w:val="000C3666"/>
    <w:rsid w:val="000C4A96"/>
    <w:rsid w:val="000C7E65"/>
    <w:rsid w:val="000D0D28"/>
    <w:rsid w:val="000D298F"/>
    <w:rsid w:val="000D3F53"/>
    <w:rsid w:val="000D40E2"/>
    <w:rsid w:val="000E4BB4"/>
    <w:rsid w:val="000E532C"/>
    <w:rsid w:val="000E5447"/>
    <w:rsid w:val="000F13CB"/>
    <w:rsid w:val="000F728D"/>
    <w:rsid w:val="00101B33"/>
    <w:rsid w:val="00102B22"/>
    <w:rsid w:val="00102F6C"/>
    <w:rsid w:val="00115C31"/>
    <w:rsid w:val="001217DE"/>
    <w:rsid w:val="00123B05"/>
    <w:rsid w:val="00125450"/>
    <w:rsid w:val="00131001"/>
    <w:rsid w:val="001322AB"/>
    <w:rsid w:val="00132AEF"/>
    <w:rsid w:val="00134EE7"/>
    <w:rsid w:val="0013666D"/>
    <w:rsid w:val="001421B0"/>
    <w:rsid w:val="001432BB"/>
    <w:rsid w:val="00145C7E"/>
    <w:rsid w:val="001466D9"/>
    <w:rsid w:val="00146A67"/>
    <w:rsid w:val="00150010"/>
    <w:rsid w:val="00155396"/>
    <w:rsid w:val="00156979"/>
    <w:rsid w:val="00163B36"/>
    <w:rsid w:val="00164D97"/>
    <w:rsid w:val="00167F11"/>
    <w:rsid w:val="00173D41"/>
    <w:rsid w:val="001750F2"/>
    <w:rsid w:val="00180D6B"/>
    <w:rsid w:val="0018168B"/>
    <w:rsid w:val="001843EB"/>
    <w:rsid w:val="0018758A"/>
    <w:rsid w:val="00187C18"/>
    <w:rsid w:val="0019540D"/>
    <w:rsid w:val="00195A23"/>
    <w:rsid w:val="001A2711"/>
    <w:rsid w:val="001A5212"/>
    <w:rsid w:val="001B17A5"/>
    <w:rsid w:val="001B5B99"/>
    <w:rsid w:val="001C15A2"/>
    <w:rsid w:val="001C198E"/>
    <w:rsid w:val="001C2034"/>
    <w:rsid w:val="001D05BA"/>
    <w:rsid w:val="001D23E8"/>
    <w:rsid w:val="001D64A1"/>
    <w:rsid w:val="001D7A5A"/>
    <w:rsid w:val="001F116D"/>
    <w:rsid w:val="001F125B"/>
    <w:rsid w:val="001F1478"/>
    <w:rsid w:val="001F3D2B"/>
    <w:rsid w:val="00200548"/>
    <w:rsid w:val="0020152A"/>
    <w:rsid w:val="00202E73"/>
    <w:rsid w:val="00202F62"/>
    <w:rsid w:val="0020313C"/>
    <w:rsid w:val="002040E0"/>
    <w:rsid w:val="00207C6E"/>
    <w:rsid w:val="002110BF"/>
    <w:rsid w:val="002151FD"/>
    <w:rsid w:val="00215BF0"/>
    <w:rsid w:val="002162EB"/>
    <w:rsid w:val="00223B21"/>
    <w:rsid w:val="002278EF"/>
    <w:rsid w:val="0023055A"/>
    <w:rsid w:val="00231741"/>
    <w:rsid w:val="00233680"/>
    <w:rsid w:val="002341A1"/>
    <w:rsid w:val="00235C29"/>
    <w:rsid w:val="002429D8"/>
    <w:rsid w:val="00243FDD"/>
    <w:rsid w:val="00245331"/>
    <w:rsid w:val="0025032D"/>
    <w:rsid w:val="002521A8"/>
    <w:rsid w:val="00256C6B"/>
    <w:rsid w:val="00262DBC"/>
    <w:rsid w:val="002650B8"/>
    <w:rsid w:val="00265B77"/>
    <w:rsid w:val="0026708B"/>
    <w:rsid w:val="00272ADC"/>
    <w:rsid w:val="00276DE0"/>
    <w:rsid w:val="00284BF7"/>
    <w:rsid w:val="00291066"/>
    <w:rsid w:val="00292AB5"/>
    <w:rsid w:val="002946ED"/>
    <w:rsid w:val="002A51A5"/>
    <w:rsid w:val="002A6B5D"/>
    <w:rsid w:val="002A6CA8"/>
    <w:rsid w:val="002B4E95"/>
    <w:rsid w:val="002B6578"/>
    <w:rsid w:val="002C0DC6"/>
    <w:rsid w:val="002C17BB"/>
    <w:rsid w:val="002C4D91"/>
    <w:rsid w:val="002C7428"/>
    <w:rsid w:val="002D397B"/>
    <w:rsid w:val="002D5AA0"/>
    <w:rsid w:val="002E084A"/>
    <w:rsid w:val="002E4A20"/>
    <w:rsid w:val="002F2FAC"/>
    <w:rsid w:val="002F60CE"/>
    <w:rsid w:val="00305361"/>
    <w:rsid w:val="003059FC"/>
    <w:rsid w:val="003166F4"/>
    <w:rsid w:val="003167B2"/>
    <w:rsid w:val="003277C6"/>
    <w:rsid w:val="00327FB6"/>
    <w:rsid w:val="00330A88"/>
    <w:rsid w:val="0033148B"/>
    <w:rsid w:val="0033316C"/>
    <w:rsid w:val="00334BF4"/>
    <w:rsid w:val="00336A65"/>
    <w:rsid w:val="00346D5A"/>
    <w:rsid w:val="003474C9"/>
    <w:rsid w:val="00351D1E"/>
    <w:rsid w:val="0035432C"/>
    <w:rsid w:val="003626A8"/>
    <w:rsid w:val="00364ECD"/>
    <w:rsid w:val="00370501"/>
    <w:rsid w:val="00370969"/>
    <w:rsid w:val="003730E2"/>
    <w:rsid w:val="00373E53"/>
    <w:rsid w:val="0037781E"/>
    <w:rsid w:val="00385E12"/>
    <w:rsid w:val="00397EE6"/>
    <w:rsid w:val="003A0621"/>
    <w:rsid w:val="003C4F2F"/>
    <w:rsid w:val="003C72AE"/>
    <w:rsid w:val="003C7DCE"/>
    <w:rsid w:val="003D6749"/>
    <w:rsid w:val="003D6B73"/>
    <w:rsid w:val="003F0103"/>
    <w:rsid w:val="003F1D66"/>
    <w:rsid w:val="003F1E83"/>
    <w:rsid w:val="003F5464"/>
    <w:rsid w:val="003F5F65"/>
    <w:rsid w:val="00403A98"/>
    <w:rsid w:val="00410D12"/>
    <w:rsid w:val="00411AD5"/>
    <w:rsid w:val="00412440"/>
    <w:rsid w:val="00417CB1"/>
    <w:rsid w:val="00417EFA"/>
    <w:rsid w:val="00440837"/>
    <w:rsid w:val="00443A86"/>
    <w:rsid w:val="00444E28"/>
    <w:rsid w:val="00463BCB"/>
    <w:rsid w:val="00473437"/>
    <w:rsid w:val="00475653"/>
    <w:rsid w:val="0048014B"/>
    <w:rsid w:val="004842C0"/>
    <w:rsid w:val="00485965"/>
    <w:rsid w:val="004909C3"/>
    <w:rsid w:val="00494857"/>
    <w:rsid w:val="004A1DCF"/>
    <w:rsid w:val="004A7771"/>
    <w:rsid w:val="004B61D0"/>
    <w:rsid w:val="004C4081"/>
    <w:rsid w:val="004C7BD8"/>
    <w:rsid w:val="004D0F3E"/>
    <w:rsid w:val="004D1D54"/>
    <w:rsid w:val="004D2059"/>
    <w:rsid w:val="004D3FE0"/>
    <w:rsid w:val="004D6924"/>
    <w:rsid w:val="004E08B5"/>
    <w:rsid w:val="004E455D"/>
    <w:rsid w:val="004E6679"/>
    <w:rsid w:val="004F0E73"/>
    <w:rsid w:val="004F10C8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6242"/>
    <w:rsid w:val="00531780"/>
    <w:rsid w:val="00531E44"/>
    <w:rsid w:val="00537121"/>
    <w:rsid w:val="005422B7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4355"/>
    <w:rsid w:val="00594581"/>
    <w:rsid w:val="00595661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C06B8"/>
    <w:rsid w:val="005C0A4F"/>
    <w:rsid w:val="005D172B"/>
    <w:rsid w:val="005D1A84"/>
    <w:rsid w:val="005D3137"/>
    <w:rsid w:val="005D425D"/>
    <w:rsid w:val="005D54A9"/>
    <w:rsid w:val="005D60B3"/>
    <w:rsid w:val="005D6572"/>
    <w:rsid w:val="005E5402"/>
    <w:rsid w:val="005E72A2"/>
    <w:rsid w:val="005E768F"/>
    <w:rsid w:val="005F1415"/>
    <w:rsid w:val="00600A97"/>
    <w:rsid w:val="006020AB"/>
    <w:rsid w:val="00605742"/>
    <w:rsid w:val="00607ACA"/>
    <w:rsid w:val="006102D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563D"/>
    <w:rsid w:val="00637B44"/>
    <w:rsid w:val="006404D4"/>
    <w:rsid w:val="0064170A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81436"/>
    <w:rsid w:val="00681862"/>
    <w:rsid w:val="006824A3"/>
    <w:rsid w:val="00684BED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7AFF"/>
    <w:rsid w:val="006C2697"/>
    <w:rsid w:val="006C4B04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10119"/>
    <w:rsid w:val="00713BD2"/>
    <w:rsid w:val="007208C8"/>
    <w:rsid w:val="00724AC1"/>
    <w:rsid w:val="00725DD6"/>
    <w:rsid w:val="00726290"/>
    <w:rsid w:val="00731A23"/>
    <w:rsid w:val="00731FF7"/>
    <w:rsid w:val="00734430"/>
    <w:rsid w:val="0074003D"/>
    <w:rsid w:val="0074378A"/>
    <w:rsid w:val="00746B3F"/>
    <w:rsid w:val="0075325E"/>
    <w:rsid w:val="007557DE"/>
    <w:rsid w:val="0075754A"/>
    <w:rsid w:val="00775F22"/>
    <w:rsid w:val="007770C6"/>
    <w:rsid w:val="00780805"/>
    <w:rsid w:val="00780D86"/>
    <w:rsid w:val="00781897"/>
    <w:rsid w:val="0078259B"/>
    <w:rsid w:val="007842D0"/>
    <w:rsid w:val="00784394"/>
    <w:rsid w:val="00791EAD"/>
    <w:rsid w:val="007932EF"/>
    <w:rsid w:val="00793C03"/>
    <w:rsid w:val="00794F30"/>
    <w:rsid w:val="007A06C1"/>
    <w:rsid w:val="007A0ECE"/>
    <w:rsid w:val="007A5883"/>
    <w:rsid w:val="007A6776"/>
    <w:rsid w:val="007A6E41"/>
    <w:rsid w:val="007A7B0B"/>
    <w:rsid w:val="007B317C"/>
    <w:rsid w:val="007B4421"/>
    <w:rsid w:val="007B4E8A"/>
    <w:rsid w:val="007B501C"/>
    <w:rsid w:val="007B5949"/>
    <w:rsid w:val="007C192D"/>
    <w:rsid w:val="007D4295"/>
    <w:rsid w:val="007D480F"/>
    <w:rsid w:val="007E5097"/>
    <w:rsid w:val="007E58F3"/>
    <w:rsid w:val="007E6835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6561"/>
    <w:rsid w:val="00821121"/>
    <w:rsid w:val="00824116"/>
    <w:rsid w:val="0082589A"/>
    <w:rsid w:val="00830349"/>
    <w:rsid w:val="00830CD5"/>
    <w:rsid w:val="00831249"/>
    <w:rsid w:val="00831C49"/>
    <w:rsid w:val="00833042"/>
    <w:rsid w:val="008347B3"/>
    <w:rsid w:val="00840629"/>
    <w:rsid w:val="0084074B"/>
    <w:rsid w:val="00842A9E"/>
    <w:rsid w:val="00842C0B"/>
    <w:rsid w:val="00844155"/>
    <w:rsid w:val="00844AFC"/>
    <w:rsid w:val="00845554"/>
    <w:rsid w:val="00846E91"/>
    <w:rsid w:val="00851EE3"/>
    <w:rsid w:val="00853119"/>
    <w:rsid w:val="00853374"/>
    <w:rsid w:val="00855061"/>
    <w:rsid w:val="008555D2"/>
    <w:rsid w:val="008733CE"/>
    <w:rsid w:val="00876705"/>
    <w:rsid w:val="00877BC8"/>
    <w:rsid w:val="008835D2"/>
    <w:rsid w:val="0088430B"/>
    <w:rsid w:val="008857D9"/>
    <w:rsid w:val="00891D39"/>
    <w:rsid w:val="00895D53"/>
    <w:rsid w:val="008A3692"/>
    <w:rsid w:val="008A74D5"/>
    <w:rsid w:val="008B1D15"/>
    <w:rsid w:val="008B323F"/>
    <w:rsid w:val="008B52E7"/>
    <w:rsid w:val="008C24D4"/>
    <w:rsid w:val="008C4427"/>
    <w:rsid w:val="008D62B8"/>
    <w:rsid w:val="008D68E8"/>
    <w:rsid w:val="008E7E6C"/>
    <w:rsid w:val="008F5F35"/>
    <w:rsid w:val="009010E6"/>
    <w:rsid w:val="0090330B"/>
    <w:rsid w:val="00906250"/>
    <w:rsid w:val="009128DB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1A86"/>
    <w:rsid w:val="0094257B"/>
    <w:rsid w:val="00944904"/>
    <w:rsid w:val="00944D66"/>
    <w:rsid w:val="009458D4"/>
    <w:rsid w:val="00951865"/>
    <w:rsid w:val="00953B8A"/>
    <w:rsid w:val="00980936"/>
    <w:rsid w:val="00983EA6"/>
    <w:rsid w:val="00986BF9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2F60"/>
    <w:rsid w:val="009A4A87"/>
    <w:rsid w:val="009B0342"/>
    <w:rsid w:val="009B1659"/>
    <w:rsid w:val="009B1B70"/>
    <w:rsid w:val="009B4C0E"/>
    <w:rsid w:val="009B586A"/>
    <w:rsid w:val="009C216D"/>
    <w:rsid w:val="009C2193"/>
    <w:rsid w:val="009C372F"/>
    <w:rsid w:val="009D4A64"/>
    <w:rsid w:val="009D70CC"/>
    <w:rsid w:val="009E636D"/>
    <w:rsid w:val="009F1395"/>
    <w:rsid w:val="009F27D7"/>
    <w:rsid w:val="009F3F93"/>
    <w:rsid w:val="00A0072F"/>
    <w:rsid w:val="00A02747"/>
    <w:rsid w:val="00A04BDA"/>
    <w:rsid w:val="00A115CE"/>
    <w:rsid w:val="00A13526"/>
    <w:rsid w:val="00A146BB"/>
    <w:rsid w:val="00A179B0"/>
    <w:rsid w:val="00A31624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62FAA"/>
    <w:rsid w:val="00A63D49"/>
    <w:rsid w:val="00A6536D"/>
    <w:rsid w:val="00A70DB2"/>
    <w:rsid w:val="00A71846"/>
    <w:rsid w:val="00A73F28"/>
    <w:rsid w:val="00A7568E"/>
    <w:rsid w:val="00A8027B"/>
    <w:rsid w:val="00A80A6D"/>
    <w:rsid w:val="00A80E8C"/>
    <w:rsid w:val="00A8102E"/>
    <w:rsid w:val="00A87B1D"/>
    <w:rsid w:val="00A90DE5"/>
    <w:rsid w:val="00A91205"/>
    <w:rsid w:val="00A927D5"/>
    <w:rsid w:val="00A94AF6"/>
    <w:rsid w:val="00A9529D"/>
    <w:rsid w:val="00AA3940"/>
    <w:rsid w:val="00AA7037"/>
    <w:rsid w:val="00AB0D73"/>
    <w:rsid w:val="00AC22EA"/>
    <w:rsid w:val="00AC257D"/>
    <w:rsid w:val="00AD3133"/>
    <w:rsid w:val="00AD704E"/>
    <w:rsid w:val="00AD7FF1"/>
    <w:rsid w:val="00AE43AE"/>
    <w:rsid w:val="00AE6F03"/>
    <w:rsid w:val="00AE7241"/>
    <w:rsid w:val="00AF4675"/>
    <w:rsid w:val="00AF4FCD"/>
    <w:rsid w:val="00B0044E"/>
    <w:rsid w:val="00B06495"/>
    <w:rsid w:val="00B07200"/>
    <w:rsid w:val="00B10B66"/>
    <w:rsid w:val="00B136F9"/>
    <w:rsid w:val="00B15B79"/>
    <w:rsid w:val="00B15EBD"/>
    <w:rsid w:val="00B2168D"/>
    <w:rsid w:val="00B23964"/>
    <w:rsid w:val="00B240FE"/>
    <w:rsid w:val="00B24107"/>
    <w:rsid w:val="00B307BD"/>
    <w:rsid w:val="00B516D6"/>
    <w:rsid w:val="00B517C4"/>
    <w:rsid w:val="00B51ED2"/>
    <w:rsid w:val="00B52211"/>
    <w:rsid w:val="00B60352"/>
    <w:rsid w:val="00B60BC9"/>
    <w:rsid w:val="00B61795"/>
    <w:rsid w:val="00B61D6E"/>
    <w:rsid w:val="00B66579"/>
    <w:rsid w:val="00B6732A"/>
    <w:rsid w:val="00B67C4B"/>
    <w:rsid w:val="00B73BA5"/>
    <w:rsid w:val="00B77B25"/>
    <w:rsid w:val="00B90AE6"/>
    <w:rsid w:val="00BA60FB"/>
    <w:rsid w:val="00BA65B1"/>
    <w:rsid w:val="00BA6895"/>
    <w:rsid w:val="00BB275D"/>
    <w:rsid w:val="00BB512C"/>
    <w:rsid w:val="00BB625A"/>
    <w:rsid w:val="00BC51C6"/>
    <w:rsid w:val="00BC5367"/>
    <w:rsid w:val="00BC5B92"/>
    <w:rsid w:val="00BD0871"/>
    <w:rsid w:val="00BD20F4"/>
    <w:rsid w:val="00BD6BD2"/>
    <w:rsid w:val="00BD77B3"/>
    <w:rsid w:val="00BE4102"/>
    <w:rsid w:val="00BE77DB"/>
    <w:rsid w:val="00BF1195"/>
    <w:rsid w:val="00BF39F1"/>
    <w:rsid w:val="00BF4B4D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F31"/>
    <w:rsid w:val="00C327C0"/>
    <w:rsid w:val="00C338C5"/>
    <w:rsid w:val="00C33B5A"/>
    <w:rsid w:val="00C37867"/>
    <w:rsid w:val="00C41BA5"/>
    <w:rsid w:val="00C444EE"/>
    <w:rsid w:val="00C55B5B"/>
    <w:rsid w:val="00C56D11"/>
    <w:rsid w:val="00C57694"/>
    <w:rsid w:val="00C60902"/>
    <w:rsid w:val="00C66551"/>
    <w:rsid w:val="00C67336"/>
    <w:rsid w:val="00C72EAC"/>
    <w:rsid w:val="00C73EBC"/>
    <w:rsid w:val="00C75BCE"/>
    <w:rsid w:val="00C75BD1"/>
    <w:rsid w:val="00C772F8"/>
    <w:rsid w:val="00C77769"/>
    <w:rsid w:val="00C81DBA"/>
    <w:rsid w:val="00C821E7"/>
    <w:rsid w:val="00C82515"/>
    <w:rsid w:val="00C83030"/>
    <w:rsid w:val="00C8516E"/>
    <w:rsid w:val="00C851DB"/>
    <w:rsid w:val="00C86A42"/>
    <w:rsid w:val="00C878D6"/>
    <w:rsid w:val="00C914E7"/>
    <w:rsid w:val="00C92583"/>
    <w:rsid w:val="00CA11EC"/>
    <w:rsid w:val="00CA4529"/>
    <w:rsid w:val="00CA7F94"/>
    <w:rsid w:val="00CB09C8"/>
    <w:rsid w:val="00CB176E"/>
    <w:rsid w:val="00CB3DEA"/>
    <w:rsid w:val="00CB7985"/>
    <w:rsid w:val="00CC0867"/>
    <w:rsid w:val="00CC6AC1"/>
    <w:rsid w:val="00CC73FF"/>
    <w:rsid w:val="00CC7CA8"/>
    <w:rsid w:val="00CD01E8"/>
    <w:rsid w:val="00CD4161"/>
    <w:rsid w:val="00CD41F5"/>
    <w:rsid w:val="00CD555B"/>
    <w:rsid w:val="00CD6BA8"/>
    <w:rsid w:val="00CD70B2"/>
    <w:rsid w:val="00CD73A3"/>
    <w:rsid w:val="00CE1151"/>
    <w:rsid w:val="00CE14E8"/>
    <w:rsid w:val="00CE45DC"/>
    <w:rsid w:val="00CE5525"/>
    <w:rsid w:val="00CF059D"/>
    <w:rsid w:val="00CF3F58"/>
    <w:rsid w:val="00CF519D"/>
    <w:rsid w:val="00D062B1"/>
    <w:rsid w:val="00D103F1"/>
    <w:rsid w:val="00D1166C"/>
    <w:rsid w:val="00D1603D"/>
    <w:rsid w:val="00D1650A"/>
    <w:rsid w:val="00D17C30"/>
    <w:rsid w:val="00D24D81"/>
    <w:rsid w:val="00D27B85"/>
    <w:rsid w:val="00D33C41"/>
    <w:rsid w:val="00D344D6"/>
    <w:rsid w:val="00D36CB2"/>
    <w:rsid w:val="00D40CD4"/>
    <w:rsid w:val="00D420D3"/>
    <w:rsid w:val="00D47370"/>
    <w:rsid w:val="00D57A61"/>
    <w:rsid w:val="00D57BE8"/>
    <w:rsid w:val="00D606C3"/>
    <w:rsid w:val="00D64EF5"/>
    <w:rsid w:val="00D65C7F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2350"/>
    <w:rsid w:val="00DA3464"/>
    <w:rsid w:val="00DA6266"/>
    <w:rsid w:val="00DA7F0D"/>
    <w:rsid w:val="00DB2BB4"/>
    <w:rsid w:val="00DB3C95"/>
    <w:rsid w:val="00DB7A73"/>
    <w:rsid w:val="00DC222F"/>
    <w:rsid w:val="00DC257F"/>
    <w:rsid w:val="00DC3544"/>
    <w:rsid w:val="00DC6285"/>
    <w:rsid w:val="00DC7FDF"/>
    <w:rsid w:val="00DD27D2"/>
    <w:rsid w:val="00DD51FD"/>
    <w:rsid w:val="00DD6BE2"/>
    <w:rsid w:val="00DE6D3D"/>
    <w:rsid w:val="00DE6DEB"/>
    <w:rsid w:val="00DF088F"/>
    <w:rsid w:val="00DF0917"/>
    <w:rsid w:val="00DF35B0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21102"/>
    <w:rsid w:val="00E25926"/>
    <w:rsid w:val="00E27FF7"/>
    <w:rsid w:val="00E32832"/>
    <w:rsid w:val="00E41CB8"/>
    <w:rsid w:val="00E44E6D"/>
    <w:rsid w:val="00E45768"/>
    <w:rsid w:val="00E45D3E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C1097"/>
    <w:rsid w:val="00EC175A"/>
    <w:rsid w:val="00EC1BAF"/>
    <w:rsid w:val="00EC2378"/>
    <w:rsid w:val="00EC2C88"/>
    <w:rsid w:val="00EC353B"/>
    <w:rsid w:val="00EC45D7"/>
    <w:rsid w:val="00EC7D24"/>
    <w:rsid w:val="00ED14DC"/>
    <w:rsid w:val="00ED5558"/>
    <w:rsid w:val="00EE2B00"/>
    <w:rsid w:val="00EE77AD"/>
    <w:rsid w:val="00EF031F"/>
    <w:rsid w:val="00EF43F8"/>
    <w:rsid w:val="00EF6CF4"/>
    <w:rsid w:val="00F011E0"/>
    <w:rsid w:val="00F041BC"/>
    <w:rsid w:val="00F0474C"/>
    <w:rsid w:val="00F1097F"/>
    <w:rsid w:val="00F11C8C"/>
    <w:rsid w:val="00F11F67"/>
    <w:rsid w:val="00F17FA3"/>
    <w:rsid w:val="00F216D1"/>
    <w:rsid w:val="00F227DA"/>
    <w:rsid w:val="00F2642D"/>
    <w:rsid w:val="00F27A0E"/>
    <w:rsid w:val="00F30A0C"/>
    <w:rsid w:val="00F35B6B"/>
    <w:rsid w:val="00F363C5"/>
    <w:rsid w:val="00F3758B"/>
    <w:rsid w:val="00F40C5A"/>
    <w:rsid w:val="00F42BF6"/>
    <w:rsid w:val="00F51E9A"/>
    <w:rsid w:val="00F5614F"/>
    <w:rsid w:val="00F568BF"/>
    <w:rsid w:val="00F64440"/>
    <w:rsid w:val="00F703F7"/>
    <w:rsid w:val="00F7780D"/>
    <w:rsid w:val="00F81A82"/>
    <w:rsid w:val="00F82739"/>
    <w:rsid w:val="00F858E4"/>
    <w:rsid w:val="00F87E8B"/>
    <w:rsid w:val="00F918DA"/>
    <w:rsid w:val="00F923C0"/>
    <w:rsid w:val="00F924A9"/>
    <w:rsid w:val="00F927DC"/>
    <w:rsid w:val="00F962B2"/>
    <w:rsid w:val="00FA0CDF"/>
    <w:rsid w:val="00FA2138"/>
    <w:rsid w:val="00FA4146"/>
    <w:rsid w:val="00FA789A"/>
    <w:rsid w:val="00FB0240"/>
    <w:rsid w:val="00FB297D"/>
    <w:rsid w:val="00FC7388"/>
    <w:rsid w:val="00FD17FB"/>
    <w:rsid w:val="00FD6D96"/>
    <w:rsid w:val="00FE1A5F"/>
    <w:rsid w:val="00FE38AC"/>
    <w:rsid w:val="00FE5B26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  <w15:docId w15:val="{EC46B067-C97E-4DC4-BB1B-83BCD6D3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locked/>
    <w:rsid w:val="00672B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sincourt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067B-5057-4352-92BF-A549E158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2910</Characters>
  <Application>Microsoft Office Word</Application>
  <DocSecurity>0</DocSecurity>
  <Lines>223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3341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Amy</cp:lastModifiedBy>
  <cp:revision>2</cp:revision>
  <cp:lastPrinted>2021-02-02T01:01:00Z</cp:lastPrinted>
  <dcterms:created xsi:type="dcterms:W3CDTF">2023-10-19T04:46:00Z</dcterms:created>
  <dcterms:modified xsi:type="dcterms:W3CDTF">2023-10-19T04:46:00Z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