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33982" w14:textId="77777777" w:rsidR="00173D41" w:rsidRPr="008F7D2B" w:rsidRDefault="006C2697" w:rsidP="00173D41">
      <w:pPr>
        <w:jc w:val="both"/>
      </w:pPr>
      <w:bookmarkStart w:id="0" w:name="_Toc167259887"/>
      <w:r>
        <w:rPr>
          <w:rFonts w:cs="Arial"/>
          <w:b/>
          <w:noProof/>
          <w:color w:val="943634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0" wp14:anchorId="7F3BD19E" wp14:editId="07C17FD1">
                <wp:simplePos x="0" y="0"/>
                <wp:positionH relativeFrom="margin">
                  <wp:posOffset>-81915</wp:posOffset>
                </wp:positionH>
                <wp:positionV relativeFrom="page">
                  <wp:posOffset>409575</wp:posOffset>
                </wp:positionV>
                <wp:extent cx="4872355" cy="960755"/>
                <wp:effectExtent l="0" t="0" r="0" b="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2355" cy="960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F1737" w14:textId="77777777" w:rsidR="00FB7E5E" w:rsidRPr="007E5097" w:rsidRDefault="00FB7E5E" w:rsidP="002C4D91">
                            <w:pPr>
                              <w:pStyle w:val="FactsheetTitle"/>
                              <w:rPr>
                                <w:b/>
                              </w:rPr>
                            </w:pPr>
                            <w:r w:rsidRPr="007E5097">
                              <w:rPr>
                                <w:b/>
                              </w:rPr>
                              <w:t>Funds in Court</w:t>
                            </w:r>
                          </w:p>
                          <w:p w14:paraId="18CA6E1A" w14:textId="77777777" w:rsidR="00FB7E5E" w:rsidRPr="007E5097" w:rsidRDefault="00FB7E5E" w:rsidP="002C4D91">
                            <w:pPr>
                              <w:pStyle w:val="FactsheetTitle"/>
                              <w:rPr>
                                <w:sz w:val="36"/>
                                <w:szCs w:val="36"/>
                              </w:rPr>
                            </w:pPr>
                            <w:r w:rsidRPr="007E5097">
                              <w:rPr>
                                <w:sz w:val="36"/>
                                <w:szCs w:val="36"/>
                              </w:rPr>
                              <w:t>Common Fund No. 3</w:t>
                            </w:r>
                          </w:p>
                          <w:p w14:paraId="28EE9C1C" w14:textId="18ED2BF3" w:rsidR="00FB7E5E" w:rsidRPr="00694BD4" w:rsidRDefault="00FB7E5E" w:rsidP="0078259B">
                            <w:pPr>
                              <w:pStyle w:val="Titlesecondary"/>
                            </w:pPr>
                            <w:r>
                              <w:t xml:space="preserve">Quarterly Fact Sheet – 31 </w:t>
                            </w:r>
                            <w:r w:rsidR="000F1381">
                              <w:t>March</w:t>
                            </w:r>
                            <w:r>
                              <w:t xml:space="preserve"> 202</w:t>
                            </w:r>
                            <w:r w:rsidR="000F1381">
                              <w:t>4</w:t>
                            </w:r>
                          </w:p>
                          <w:p w14:paraId="64E7AEA5" w14:textId="77777777" w:rsidR="00FB7E5E" w:rsidRDefault="00FB7E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BD19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.45pt;margin-top:32.25pt;width:383.65pt;height:75.6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" o:allowoverlap="f" stroked="f">
                <v:fill opacity="0"/>
                <v:textbox>
                  <w:txbxContent>
                    <w:p w14:paraId="591F1737" w14:textId="77777777" w:rsidR="00FB7E5E" w:rsidRPr="007E5097" w:rsidRDefault="00FB7E5E" w:rsidP="002C4D91">
                      <w:pPr>
                        <w:pStyle w:val="FactsheetTitle"/>
                        <w:rPr>
                          <w:b/>
                        </w:rPr>
                      </w:pPr>
                      <w:r w:rsidRPr="007E5097">
                        <w:rPr>
                          <w:b/>
                        </w:rPr>
                        <w:t>Funds in Court</w:t>
                      </w:r>
                    </w:p>
                    <w:p w14:paraId="18CA6E1A" w14:textId="77777777" w:rsidR="00FB7E5E" w:rsidRPr="007E5097" w:rsidRDefault="00FB7E5E" w:rsidP="002C4D91">
                      <w:pPr>
                        <w:pStyle w:val="FactsheetTitle"/>
                        <w:rPr>
                          <w:sz w:val="36"/>
                          <w:szCs w:val="36"/>
                        </w:rPr>
                      </w:pPr>
                      <w:r w:rsidRPr="007E5097">
                        <w:rPr>
                          <w:sz w:val="36"/>
                          <w:szCs w:val="36"/>
                        </w:rPr>
                        <w:t>Common Fund No. 3</w:t>
                      </w:r>
                    </w:p>
                    <w:p w14:paraId="28EE9C1C" w14:textId="18ED2BF3" w:rsidR="00FB7E5E" w:rsidRPr="00694BD4" w:rsidRDefault="00FB7E5E" w:rsidP="0078259B">
                      <w:pPr>
                        <w:pStyle w:val="Titlesecondary"/>
                      </w:pPr>
                      <w:r>
                        <w:t xml:space="preserve">Quarterly Fact Sheet – 31 </w:t>
                      </w:r>
                      <w:r w:rsidR="000F1381">
                        <w:t>March</w:t>
                      </w:r>
                      <w:r>
                        <w:t xml:space="preserve"> 202</w:t>
                      </w:r>
                      <w:r w:rsidR="000F1381">
                        <w:t>4</w:t>
                      </w:r>
                    </w:p>
                    <w:p w14:paraId="64E7AEA5" w14:textId="77777777" w:rsidR="00FB7E5E" w:rsidRDefault="00FB7E5E"/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173D41" w:rsidRPr="00173D41">
        <w:rPr>
          <w:rFonts w:cs="Arial"/>
          <w:b/>
          <w:color w:val="943634"/>
          <w:szCs w:val="22"/>
        </w:rPr>
        <w:t>Fund Overview</w:t>
      </w:r>
    </w:p>
    <w:p w14:paraId="4D91F409" w14:textId="77777777" w:rsidR="00173D41" w:rsidRDefault="00173D41" w:rsidP="00173D41">
      <w:pPr>
        <w:jc w:val="both"/>
        <w:rPr>
          <w:rFonts w:cs="Arial"/>
        </w:rPr>
      </w:pPr>
    </w:p>
    <w:p w14:paraId="734BE5DE" w14:textId="0A10EF55" w:rsidR="00173D41" w:rsidRDefault="00173D41" w:rsidP="00831249">
      <w:pPr>
        <w:jc w:val="both"/>
        <w:rPr>
          <w:rFonts w:cs="Arial"/>
        </w:rPr>
      </w:pPr>
      <w:r w:rsidRPr="008F7D2B">
        <w:rPr>
          <w:rFonts w:cs="Arial"/>
        </w:rPr>
        <w:t>Common Fund No. 3 [</w:t>
      </w:r>
      <w:r w:rsidR="00B06495">
        <w:rPr>
          <w:rFonts w:cs="Arial"/>
        </w:rPr>
        <w:t xml:space="preserve">CF-3] </w:t>
      </w:r>
      <w:r>
        <w:rPr>
          <w:rFonts w:cs="Arial"/>
        </w:rPr>
        <w:t>provide</w:t>
      </w:r>
      <w:r w:rsidR="00B06495">
        <w:rPr>
          <w:rFonts w:cs="Arial"/>
        </w:rPr>
        <w:t>s</w:t>
      </w:r>
      <w:r>
        <w:rPr>
          <w:rFonts w:cs="Arial"/>
        </w:rPr>
        <w:t xml:space="preserve"> </w:t>
      </w:r>
      <w:r w:rsidR="00202A95">
        <w:rPr>
          <w:rFonts w:cs="Arial"/>
        </w:rPr>
        <w:t>clients</w:t>
      </w:r>
      <w:r>
        <w:rPr>
          <w:rFonts w:cs="Arial"/>
        </w:rPr>
        <w:t xml:space="preserve"> with </w:t>
      </w:r>
      <w:r w:rsidR="00DA3464">
        <w:rPr>
          <w:rFonts w:cs="Arial"/>
        </w:rPr>
        <w:t>the potential</w:t>
      </w:r>
      <w:r w:rsidR="00BA65B1">
        <w:rPr>
          <w:rFonts w:cs="Arial"/>
        </w:rPr>
        <w:t xml:space="preserve"> to achieve capital growth over the long term. </w:t>
      </w:r>
      <w:r w:rsidR="009178FB">
        <w:rPr>
          <w:rFonts w:cs="Arial"/>
        </w:rPr>
        <w:t>The Fund invests in a</w:t>
      </w:r>
      <w:r>
        <w:rPr>
          <w:rFonts w:cs="Arial"/>
        </w:rPr>
        <w:t xml:space="preserve"> </w:t>
      </w:r>
      <w:r w:rsidR="009178FB">
        <w:rPr>
          <w:rFonts w:cs="Arial"/>
        </w:rPr>
        <w:t>portfolio of publicly listed Australian shares, whilst a s</w:t>
      </w:r>
      <w:r>
        <w:rPr>
          <w:rFonts w:cs="Arial"/>
        </w:rPr>
        <w:t xml:space="preserve">mall percentage of the </w:t>
      </w:r>
      <w:r w:rsidR="009178FB">
        <w:rPr>
          <w:rFonts w:cs="Arial"/>
        </w:rPr>
        <w:t xml:space="preserve">Fund </w:t>
      </w:r>
      <w:r>
        <w:rPr>
          <w:rFonts w:cs="Arial"/>
        </w:rPr>
        <w:t>is</w:t>
      </w:r>
      <w:r w:rsidR="005167AE">
        <w:rPr>
          <w:rFonts w:cs="Arial"/>
        </w:rPr>
        <w:t xml:space="preserve"> also invested in cash</w:t>
      </w:r>
      <w:r w:rsidR="00BD4966">
        <w:rPr>
          <w:rFonts w:cs="Arial"/>
        </w:rPr>
        <w:t xml:space="preserve">, </w:t>
      </w:r>
      <w:bookmarkStart w:id="1" w:name="_Hlk164861237"/>
      <w:r w:rsidR="00BD4966" w:rsidRPr="00CD66B3">
        <w:rPr>
          <w:rFonts w:cs="Arial"/>
        </w:rPr>
        <w:t>all held in the name of the S</w:t>
      </w:r>
      <w:r w:rsidR="004E7C42" w:rsidRPr="00CD66B3">
        <w:rPr>
          <w:rFonts w:cs="Arial"/>
        </w:rPr>
        <w:t>enior Master</w:t>
      </w:r>
      <w:bookmarkEnd w:id="1"/>
      <w:r w:rsidR="005167AE">
        <w:rPr>
          <w:rFonts w:cs="Arial"/>
        </w:rPr>
        <w:t>.</w:t>
      </w:r>
      <w:r w:rsidR="005B2394">
        <w:rPr>
          <w:rFonts w:cs="Arial"/>
        </w:rPr>
        <w:t xml:space="preserve"> </w:t>
      </w:r>
    </w:p>
    <w:p w14:paraId="41BE655E" w14:textId="67AE8998" w:rsidR="005167AE" w:rsidRDefault="005B2394" w:rsidP="00831249">
      <w:pPr>
        <w:jc w:val="both"/>
      </w:pPr>
      <w:r>
        <w:rPr>
          <w:rFonts w:cs="Arial"/>
        </w:rPr>
        <w:br/>
      </w:r>
      <w:r w:rsidR="007B4E8A">
        <w:t xml:space="preserve">CF-3 operates as a unit trust structure. This means that each </w:t>
      </w:r>
      <w:r w:rsidR="00202A95">
        <w:t>client</w:t>
      </w:r>
      <w:r w:rsidR="007B4E8A">
        <w:t>’s investment</w:t>
      </w:r>
      <w:r w:rsidR="009F1395">
        <w:t xml:space="preserve"> in CF-3</w:t>
      </w:r>
      <w:r w:rsidR="007B4E8A">
        <w:t xml:space="preserve"> is </w:t>
      </w:r>
      <w:r w:rsidR="009F1395">
        <w:t xml:space="preserve">determined via the issue of </w:t>
      </w:r>
      <w:proofErr w:type="gramStart"/>
      <w:r w:rsidR="009F1395">
        <w:t>a number of</w:t>
      </w:r>
      <w:proofErr w:type="gramEnd"/>
      <w:r w:rsidR="009F1395">
        <w:t xml:space="preserve"> “units” in the Fund</w:t>
      </w:r>
      <w:r w:rsidR="007B4E8A">
        <w:t>, rather than directly owning individual shares. The “</w:t>
      </w:r>
      <w:r w:rsidR="00E52C5F">
        <w:t>unit holding</w:t>
      </w:r>
      <w:r w:rsidR="007B4E8A">
        <w:t>” and the “unit price”</w:t>
      </w:r>
      <w:r w:rsidR="009F1395">
        <w:t xml:space="preserve">, (which reflects the value of the underlying shares in the portfolio), is used to </w:t>
      </w:r>
      <w:r w:rsidR="00330A88">
        <w:t xml:space="preserve">calculate </w:t>
      </w:r>
      <w:r w:rsidR="007B4E8A">
        <w:t xml:space="preserve">the value of </w:t>
      </w:r>
      <w:r w:rsidR="00E52C5F">
        <w:t>each</w:t>
      </w:r>
      <w:r w:rsidR="007B4E8A">
        <w:t xml:space="preserve"> </w:t>
      </w:r>
      <w:r w:rsidR="00202A95">
        <w:t>client</w:t>
      </w:r>
      <w:r w:rsidR="007B4E8A">
        <w:t>’s investment in CF-3.</w:t>
      </w:r>
      <w:r w:rsidR="009178FB">
        <w:t xml:space="preserve"> </w:t>
      </w:r>
    </w:p>
    <w:p w14:paraId="40439A65" w14:textId="77777777" w:rsidR="00BA65B1" w:rsidRDefault="00BA65B1" w:rsidP="00831249">
      <w:pPr>
        <w:jc w:val="both"/>
      </w:pPr>
    </w:p>
    <w:p w14:paraId="7C86E6F6" w14:textId="77777777" w:rsidR="00BA65B1" w:rsidRPr="008F7D2B" w:rsidRDefault="00BA65B1" w:rsidP="00831249">
      <w:pPr>
        <w:jc w:val="both"/>
        <w:rPr>
          <w:rFonts w:cs="Arial"/>
        </w:rPr>
      </w:pPr>
      <w:r>
        <w:t xml:space="preserve">Due to the volatile nature of the share market the </w:t>
      </w:r>
      <w:r w:rsidR="0013666D">
        <w:t>“</w:t>
      </w:r>
      <w:r>
        <w:t>unit price</w:t>
      </w:r>
      <w:r w:rsidR="0013666D">
        <w:t xml:space="preserve">” </w:t>
      </w:r>
      <w:r>
        <w:t xml:space="preserve">may rise or fall </w:t>
      </w:r>
      <w:proofErr w:type="gramStart"/>
      <w:r>
        <w:t xml:space="preserve">on </w:t>
      </w:r>
      <w:r w:rsidR="0013666D">
        <w:t>a daily basis</w:t>
      </w:r>
      <w:proofErr w:type="gramEnd"/>
      <w:r w:rsidR="0013666D">
        <w:t>.</w:t>
      </w:r>
    </w:p>
    <w:p w14:paraId="5E575623" w14:textId="77777777" w:rsidR="00173D41" w:rsidRPr="008F7D2B" w:rsidRDefault="00173D41" w:rsidP="00173D41">
      <w:pPr>
        <w:jc w:val="both"/>
        <w:rPr>
          <w:rFonts w:cs="Arial"/>
        </w:rPr>
      </w:pPr>
    </w:p>
    <w:p w14:paraId="579076C6" w14:textId="77777777" w:rsidR="00091981" w:rsidRPr="00831249" w:rsidRDefault="00091981" w:rsidP="00831249">
      <w:pPr>
        <w:jc w:val="both"/>
        <w:rPr>
          <w:rFonts w:cs="Arial"/>
          <w:b/>
          <w:color w:val="943634"/>
          <w:szCs w:val="22"/>
        </w:rPr>
      </w:pPr>
      <w:r>
        <w:rPr>
          <w:rFonts w:cs="Arial"/>
          <w:b/>
          <w:color w:val="943634"/>
          <w:szCs w:val="22"/>
        </w:rPr>
        <w:t>Investment Approach</w:t>
      </w:r>
    </w:p>
    <w:p w14:paraId="5C295FA5" w14:textId="77777777" w:rsidR="00831249" w:rsidRDefault="00831249" w:rsidP="00831249">
      <w:pPr>
        <w:jc w:val="both"/>
        <w:rPr>
          <w:rFonts w:cs="Arial"/>
          <w:b/>
          <w:color w:val="943634"/>
          <w:szCs w:val="22"/>
        </w:rPr>
      </w:pPr>
    </w:p>
    <w:p w14:paraId="3A47355A" w14:textId="683E3FF8" w:rsidR="00D103F1" w:rsidRDefault="007B4E8A" w:rsidP="00BA65B1">
      <w:pPr>
        <w:jc w:val="both"/>
      </w:pPr>
      <w:r>
        <w:t>CF-3 is actively managed relative to the benchmark but with low portfolio turnover. The Fund primarily invests in large capitalisation shares (commonly referre</w:t>
      </w:r>
      <w:r w:rsidR="007F0BDC">
        <w:t xml:space="preserve">d to as “blue chip” shares) </w:t>
      </w:r>
      <w:r>
        <w:t>across a range of industry sectors</w:t>
      </w:r>
      <w:r w:rsidR="00E52C5F">
        <w:t>.</w:t>
      </w:r>
      <w:r w:rsidR="00EE2D45">
        <w:t xml:space="preserve"> </w:t>
      </w:r>
      <w:r w:rsidR="00EE2D45" w:rsidRPr="00D20B3E">
        <w:t>The Senior Master is responsible for all investment decisions.</w:t>
      </w:r>
    </w:p>
    <w:p w14:paraId="58D69390" w14:textId="77777777" w:rsidR="00F81A82" w:rsidRDefault="00F81A82" w:rsidP="00BA65B1">
      <w:pPr>
        <w:jc w:val="both"/>
      </w:pPr>
    </w:p>
    <w:p w14:paraId="3AE7DB4C" w14:textId="0968AB46" w:rsidR="00F81A82" w:rsidRPr="00F7780D" w:rsidRDefault="00C338C5" w:rsidP="00BA65B1">
      <w:pPr>
        <w:jc w:val="both"/>
        <w:rPr>
          <w:rFonts w:cs="Arial"/>
          <w:b/>
          <w:color w:val="auto"/>
          <w:sz w:val="20"/>
          <w:szCs w:val="20"/>
        </w:rPr>
      </w:pPr>
      <w:r w:rsidRPr="00F7780D">
        <w:rPr>
          <w:rFonts w:cs="Arial"/>
          <w:b/>
          <w:color w:val="auto"/>
          <w:sz w:val="20"/>
          <w:szCs w:val="20"/>
        </w:rPr>
        <w:t xml:space="preserve">Figure 1. An initial investment </w:t>
      </w:r>
      <w:r w:rsidR="00F81A82" w:rsidRPr="00F7780D">
        <w:rPr>
          <w:rFonts w:cs="Arial"/>
          <w:b/>
          <w:color w:val="auto"/>
          <w:sz w:val="20"/>
          <w:szCs w:val="20"/>
        </w:rPr>
        <w:t>of $10,000</w:t>
      </w:r>
      <w:r w:rsidRPr="00F7780D">
        <w:rPr>
          <w:rFonts w:cs="Arial"/>
          <w:b/>
          <w:color w:val="auto"/>
          <w:sz w:val="20"/>
          <w:szCs w:val="20"/>
        </w:rPr>
        <w:t xml:space="preserve"> in 2004 would have grown to $</w:t>
      </w:r>
      <w:r w:rsidR="00251625">
        <w:rPr>
          <w:rFonts w:cs="Arial"/>
          <w:b/>
          <w:color w:val="auto"/>
          <w:sz w:val="20"/>
          <w:szCs w:val="20"/>
        </w:rPr>
        <w:t>5</w:t>
      </w:r>
      <w:r w:rsidR="000B6888">
        <w:rPr>
          <w:rFonts w:cs="Arial"/>
          <w:b/>
          <w:color w:val="auto"/>
          <w:sz w:val="20"/>
          <w:szCs w:val="20"/>
        </w:rPr>
        <w:t>1</w:t>
      </w:r>
      <w:r w:rsidR="00251625">
        <w:rPr>
          <w:rFonts w:cs="Arial"/>
          <w:b/>
          <w:color w:val="auto"/>
          <w:sz w:val="20"/>
          <w:szCs w:val="20"/>
        </w:rPr>
        <w:t>,</w:t>
      </w:r>
      <w:r w:rsidR="000B6888">
        <w:rPr>
          <w:rFonts w:cs="Arial"/>
          <w:b/>
          <w:color w:val="auto"/>
          <w:sz w:val="20"/>
          <w:szCs w:val="20"/>
        </w:rPr>
        <w:t>567</w:t>
      </w:r>
      <w:r w:rsidRPr="00F7780D">
        <w:rPr>
          <w:rFonts w:cs="Arial"/>
          <w:b/>
          <w:color w:val="auto"/>
          <w:sz w:val="20"/>
          <w:szCs w:val="20"/>
        </w:rPr>
        <w:t xml:space="preserve"> today if </w:t>
      </w:r>
      <w:r w:rsidR="00684BED" w:rsidRPr="00F7780D">
        <w:rPr>
          <w:rFonts w:cs="Arial"/>
          <w:b/>
          <w:color w:val="auto"/>
          <w:sz w:val="20"/>
          <w:szCs w:val="20"/>
        </w:rPr>
        <w:t xml:space="preserve">distributions </w:t>
      </w:r>
      <w:r w:rsidRPr="00F7780D">
        <w:rPr>
          <w:rFonts w:cs="Arial"/>
          <w:b/>
          <w:color w:val="auto"/>
          <w:sz w:val="20"/>
          <w:szCs w:val="20"/>
        </w:rPr>
        <w:t xml:space="preserve">were </w:t>
      </w:r>
      <w:r w:rsidR="00684BED" w:rsidRPr="00F7780D">
        <w:rPr>
          <w:rFonts w:cs="Arial"/>
          <w:b/>
          <w:color w:val="auto"/>
          <w:sz w:val="20"/>
          <w:szCs w:val="20"/>
        </w:rPr>
        <w:t>reinvested</w:t>
      </w:r>
    </w:p>
    <w:p w14:paraId="5BDF9E87" w14:textId="74FC2BE7" w:rsidR="00794F30" w:rsidRPr="00794F30" w:rsidRDefault="002E74CA" w:rsidP="00794F30">
      <w:pPr>
        <w:rPr>
          <w:rFonts w:ascii="Calibri" w:eastAsia="Times New Roman" w:hAnsi="Calibri" w:cs="Calibri"/>
          <w:color w:val="auto"/>
          <w:szCs w:val="22"/>
        </w:rPr>
      </w:pPr>
      <w:r>
        <w:rPr>
          <w:rFonts w:ascii="Calibri" w:eastAsia="Times New Roman" w:hAnsi="Calibri" w:cs="Calibri"/>
          <w:noProof/>
          <w:color w:val="auto"/>
          <w:szCs w:val="22"/>
        </w:rPr>
        <w:drawing>
          <wp:inline distT="0" distB="0" distL="0" distR="0" wp14:anchorId="5E6F82BD" wp14:editId="58A5F3D5">
            <wp:extent cx="2923815" cy="2295525"/>
            <wp:effectExtent l="0" t="0" r="0" b="0"/>
            <wp:docPr id="420293917" name="Picture 1" descr="Line graph showing the increasing value of money invested in Common Fund No. 3 over the longer term. The value fluctuates with significant dips in 2008 and 2020 but has an overall positive tre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93917" name="Picture 1" descr="Line graph showing the increasing value of money invested in Common Fund No. 3 over the longer term. The value fluctuates with significant dips in 2008 and 2020 but has an overall positive trend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867" cy="2308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2CD18E11" w14:textId="77777777" w:rsidR="00173D41" w:rsidRDefault="00173D41" w:rsidP="001322AB">
      <w:pPr>
        <w:pStyle w:val="Body"/>
        <w:jc w:val="both"/>
        <w:rPr>
          <w:rFonts w:cs="Arial"/>
          <w:b/>
          <w:color w:val="943634"/>
          <w:szCs w:val="22"/>
        </w:rPr>
      </w:pPr>
      <w:r w:rsidRPr="00173D41">
        <w:rPr>
          <w:rFonts w:cs="Arial"/>
          <w:b/>
          <w:color w:val="943634"/>
          <w:szCs w:val="22"/>
        </w:rPr>
        <w:t xml:space="preserve">Fund </w:t>
      </w:r>
      <w:r>
        <w:rPr>
          <w:rFonts w:cs="Arial"/>
          <w:b/>
          <w:color w:val="943634"/>
          <w:szCs w:val="22"/>
        </w:rPr>
        <w:t>Details</w:t>
      </w:r>
    </w:p>
    <w:tbl>
      <w:tblPr>
        <w:tblW w:w="4786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015"/>
        <w:gridCol w:w="2771"/>
      </w:tblGrid>
      <w:tr w:rsidR="00173D41" w:rsidRPr="00B06495" w14:paraId="0ADB6600" w14:textId="77777777" w:rsidTr="00091981">
        <w:trPr>
          <w:trHeight w:val="946"/>
        </w:trPr>
        <w:tc>
          <w:tcPr>
            <w:tcW w:w="2015" w:type="dxa"/>
            <w:shd w:val="pct20" w:color="000000" w:fill="FFFFFF"/>
          </w:tcPr>
          <w:p w14:paraId="7E43E0AA" w14:textId="77777777" w:rsidR="00173D41" w:rsidRPr="00B06495" w:rsidRDefault="00173D41" w:rsidP="00D103F1">
            <w:pPr>
              <w:spacing w:before="120" w:after="120"/>
              <w:rPr>
                <w:rFonts w:cs="Arial"/>
                <w:b/>
                <w:bCs/>
                <w:szCs w:val="22"/>
              </w:rPr>
            </w:pPr>
            <w:r w:rsidRPr="00B06495">
              <w:rPr>
                <w:rFonts w:cs="Arial"/>
                <w:b/>
                <w:bCs/>
                <w:szCs w:val="22"/>
              </w:rPr>
              <w:t>Fund Objective:</w:t>
            </w:r>
          </w:p>
        </w:tc>
        <w:tc>
          <w:tcPr>
            <w:tcW w:w="2771" w:type="dxa"/>
            <w:shd w:val="pct20" w:color="000000" w:fill="FFFFFF"/>
          </w:tcPr>
          <w:p w14:paraId="0D0EC655" w14:textId="77777777" w:rsidR="00173D41" w:rsidRPr="00B06495" w:rsidRDefault="00173D41" w:rsidP="00F962B2">
            <w:pPr>
              <w:spacing w:before="120" w:after="120"/>
              <w:rPr>
                <w:rFonts w:cs="Arial"/>
                <w:bCs/>
                <w:szCs w:val="22"/>
              </w:rPr>
            </w:pPr>
            <w:r w:rsidRPr="00B06495">
              <w:rPr>
                <w:rFonts w:cs="Arial"/>
                <w:bCs/>
                <w:szCs w:val="22"/>
              </w:rPr>
              <w:t xml:space="preserve">To provide capital growth and income </w:t>
            </w:r>
            <w:r w:rsidR="00E97052">
              <w:rPr>
                <w:rFonts w:cs="Arial"/>
                <w:bCs/>
                <w:szCs w:val="22"/>
              </w:rPr>
              <w:t>(via distribution</w:t>
            </w:r>
            <w:r w:rsidR="00F962B2">
              <w:rPr>
                <w:rFonts w:cs="Arial"/>
                <w:bCs/>
                <w:szCs w:val="22"/>
              </w:rPr>
              <w:t xml:space="preserve"> of dividends)</w:t>
            </w:r>
            <w:r w:rsidR="00E97052">
              <w:rPr>
                <w:rFonts w:cs="Arial"/>
                <w:bCs/>
                <w:szCs w:val="22"/>
              </w:rPr>
              <w:t xml:space="preserve"> </w:t>
            </w:r>
            <w:r w:rsidRPr="00B06495">
              <w:rPr>
                <w:rFonts w:cs="Arial"/>
                <w:bCs/>
                <w:szCs w:val="22"/>
              </w:rPr>
              <w:t>over an investment timeframe of at least 6 years.</w:t>
            </w:r>
          </w:p>
        </w:tc>
      </w:tr>
      <w:tr w:rsidR="00173D41" w:rsidRPr="00B06495" w14:paraId="4796200F" w14:textId="77777777" w:rsidTr="00091981">
        <w:trPr>
          <w:trHeight w:val="367"/>
        </w:trPr>
        <w:tc>
          <w:tcPr>
            <w:tcW w:w="2015" w:type="dxa"/>
            <w:shd w:val="pct5" w:color="000000" w:fill="FFFFFF"/>
          </w:tcPr>
          <w:p w14:paraId="1DE4CD8B" w14:textId="7777777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Performance Benchmark</w:t>
            </w:r>
          </w:p>
        </w:tc>
        <w:tc>
          <w:tcPr>
            <w:tcW w:w="2771" w:type="dxa"/>
            <w:shd w:val="pct5" w:color="000000" w:fill="FFFFFF"/>
          </w:tcPr>
          <w:p w14:paraId="6DAE022B" w14:textId="77777777" w:rsidR="00173D41" w:rsidRPr="00B06495" w:rsidRDefault="00173D41" w:rsidP="00D103F1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>S&amp;P/ ASX 50 Accumulation Index</w:t>
            </w:r>
          </w:p>
        </w:tc>
      </w:tr>
      <w:tr w:rsidR="00173D41" w:rsidRPr="00B06495" w14:paraId="680192AB" w14:textId="77777777" w:rsidTr="00091981">
        <w:tc>
          <w:tcPr>
            <w:tcW w:w="2015" w:type="dxa"/>
            <w:shd w:val="pct20" w:color="000000" w:fill="FFFFFF"/>
          </w:tcPr>
          <w:p w14:paraId="6558C3C7" w14:textId="7777777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Fund Size:</w:t>
            </w:r>
          </w:p>
        </w:tc>
        <w:tc>
          <w:tcPr>
            <w:tcW w:w="2771" w:type="dxa"/>
            <w:shd w:val="pct20" w:color="000000" w:fill="FFFFFF"/>
          </w:tcPr>
          <w:p w14:paraId="195B8B74" w14:textId="692A13C6" w:rsidR="00173D41" w:rsidRPr="00B06495" w:rsidRDefault="00173D41" w:rsidP="002E4A20">
            <w:pPr>
              <w:spacing w:before="120" w:after="120"/>
              <w:rPr>
                <w:rFonts w:cs="Arial"/>
                <w:szCs w:val="22"/>
              </w:rPr>
            </w:pPr>
            <w:r w:rsidRPr="000D3F53">
              <w:rPr>
                <w:rFonts w:cs="Arial"/>
                <w:szCs w:val="22"/>
              </w:rPr>
              <w:t>$</w:t>
            </w:r>
            <w:r w:rsidR="000F04D8">
              <w:rPr>
                <w:rFonts w:cs="Arial"/>
                <w:szCs w:val="22"/>
              </w:rPr>
              <w:t>815</w:t>
            </w:r>
            <w:r w:rsidR="00BA7D77">
              <w:rPr>
                <w:rFonts w:cs="Arial"/>
                <w:szCs w:val="22"/>
              </w:rPr>
              <w:t>.5</w:t>
            </w:r>
            <w:r w:rsidR="0026708B">
              <w:rPr>
                <w:rFonts w:cs="Arial"/>
                <w:szCs w:val="22"/>
              </w:rPr>
              <w:t xml:space="preserve"> million</w:t>
            </w:r>
          </w:p>
        </w:tc>
      </w:tr>
      <w:tr w:rsidR="00173D41" w:rsidRPr="00B06495" w14:paraId="2ACA6D6A" w14:textId="77777777" w:rsidTr="00091981">
        <w:tc>
          <w:tcPr>
            <w:tcW w:w="2015" w:type="dxa"/>
            <w:shd w:val="pct5" w:color="000000" w:fill="FFFFFF"/>
          </w:tcPr>
          <w:p w14:paraId="1F64866F" w14:textId="7777777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Inception Date:</w:t>
            </w:r>
          </w:p>
        </w:tc>
        <w:tc>
          <w:tcPr>
            <w:tcW w:w="2771" w:type="dxa"/>
            <w:shd w:val="pct5" w:color="000000" w:fill="FFFFFF"/>
          </w:tcPr>
          <w:p w14:paraId="6E8621C5" w14:textId="77777777" w:rsidR="00173D41" w:rsidRPr="00B06495" w:rsidRDefault="00173D41" w:rsidP="00D103F1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>1 July 2004</w:t>
            </w:r>
          </w:p>
        </w:tc>
      </w:tr>
      <w:tr w:rsidR="00173D41" w:rsidRPr="00B06495" w14:paraId="17423B72" w14:textId="77777777" w:rsidTr="00091981">
        <w:trPr>
          <w:trHeight w:val="462"/>
        </w:trPr>
        <w:tc>
          <w:tcPr>
            <w:tcW w:w="2015" w:type="dxa"/>
            <w:shd w:val="pct20" w:color="000000" w:fill="FFFFFF"/>
          </w:tcPr>
          <w:p w14:paraId="32D4563F" w14:textId="7777777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No. of Stocks:</w:t>
            </w:r>
          </w:p>
        </w:tc>
        <w:tc>
          <w:tcPr>
            <w:tcW w:w="2771" w:type="dxa"/>
            <w:shd w:val="pct20" w:color="000000" w:fill="FFFFFF"/>
          </w:tcPr>
          <w:p w14:paraId="16FD8774" w14:textId="79D85E11" w:rsidR="00173D41" w:rsidRPr="00B06495" w:rsidRDefault="00F8169A" w:rsidP="006457B7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</w:t>
            </w:r>
          </w:p>
        </w:tc>
      </w:tr>
      <w:tr w:rsidR="00173D41" w:rsidRPr="00B06495" w14:paraId="5AE57746" w14:textId="77777777" w:rsidTr="00091981">
        <w:trPr>
          <w:trHeight w:val="462"/>
        </w:trPr>
        <w:tc>
          <w:tcPr>
            <w:tcW w:w="2015" w:type="dxa"/>
            <w:shd w:val="pct5" w:color="000000" w:fill="FFFFFF"/>
          </w:tcPr>
          <w:p w14:paraId="62EF30C5" w14:textId="7777777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Income Distribution:</w:t>
            </w:r>
          </w:p>
        </w:tc>
        <w:tc>
          <w:tcPr>
            <w:tcW w:w="2771" w:type="dxa"/>
            <w:shd w:val="pct5" w:color="000000" w:fill="FFFFFF"/>
          </w:tcPr>
          <w:p w14:paraId="0D2EE3CA" w14:textId="77777777" w:rsidR="00173D41" w:rsidRPr="00B06495" w:rsidRDefault="00173D41" w:rsidP="00B307BD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 xml:space="preserve">Monthly </w:t>
            </w:r>
            <w:r w:rsidR="00B307BD" w:rsidRPr="00B06495">
              <w:rPr>
                <w:rFonts w:cs="Arial"/>
                <w:szCs w:val="22"/>
              </w:rPr>
              <w:t xml:space="preserve">(if </w:t>
            </w:r>
            <w:r w:rsidRPr="00B06495">
              <w:rPr>
                <w:rFonts w:cs="Arial"/>
                <w:szCs w:val="22"/>
              </w:rPr>
              <w:t>applicable</w:t>
            </w:r>
            <w:r w:rsidR="00B307BD" w:rsidRPr="00B06495">
              <w:rPr>
                <w:rFonts w:cs="Arial"/>
                <w:szCs w:val="22"/>
              </w:rPr>
              <w:t>)</w:t>
            </w:r>
          </w:p>
        </w:tc>
      </w:tr>
      <w:tr w:rsidR="00173D41" w:rsidRPr="00B06495" w14:paraId="24E34EF9" w14:textId="77777777" w:rsidTr="00091981">
        <w:trPr>
          <w:trHeight w:val="462"/>
        </w:trPr>
        <w:tc>
          <w:tcPr>
            <w:tcW w:w="2015" w:type="dxa"/>
            <w:shd w:val="pct20" w:color="000000" w:fill="FFFFFF"/>
          </w:tcPr>
          <w:p w14:paraId="301DAFCB" w14:textId="77777777" w:rsidR="00173D41" w:rsidRPr="00B06495" w:rsidRDefault="007D4295" w:rsidP="00B307BD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Unit Pric</w:t>
            </w:r>
            <w:r w:rsidR="00B307BD" w:rsidRPr="00B06495">
              <w:rPr>
                <w:rFonts w:cs="Arial"/>
                <w:b/>
                <w:szCs w:val="22"/>
              </w:rPr>
              <w:t>ing</w:t>
            </w:r>
            <w:r w:rsidRPr="00B06495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771" w:type="dxa"/>
            <w:shd w:val="pct20" w:color="000000" w:fill="FFFFFF"/>
          </w:tcPr>
          <w:p w14:paraId="7DEDBFC8" w14:textId="77777777" w:rsidR="00173D41" w:rsidRPr="00B06495" w:rsidRDefault="007D4295" w:rsidP="00831249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>Daily</w:t>
            </w:r>
          </w:p>
        </w:tc>
      </w:tr>
      <w:tr w:rsidR="007D4295" w:rsidRPr="00B06495" w14:paraId="6BB66DE9" w14:textId="77777777" w:rsidTr="0019540D">
        <w:trPr>
          <w:trHeight w:val="462"/>
        </w:trPr>
        <w:tc>
          <w:tcPr>
            <w:tcW w:w="2015" w:type="dxa"/>
            <w:shd w:val="clear" w:color="auto" w:fill="F2F2F2"/>
          </w:tcPr>
          <w:p w14:paraId="3F596EEA" w14:textId="77777777" w:rsidR="007D4295" w:rsidRPr="00CD70B2" w:rsidRDefault="007D4295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CD70B2">
              <w:rPr>
                <w:rFonts w:cs="Arial"/>
                <w:b/>
                <w:szCs w:val="22"/>
              </w:rPr>
              <w:t>Unit Price:</w:t>
            </w:r>
          </w:p>
        </w:tc>
        <w:tc>
          <w:tcPr>
            <w:tcW w:w="2771" w:type="dxa"/>
            <w:shd w:val="clear" w:color="auto" w:fill="F2F2F2"/>
          </w:tcPr>
          <w:p w14:paraId="6500D348" w14:textId="30463A18" w:rsidR="00EF6CF4" w:rsidRPr="00EF6CF4" w:rsidRDefault="00CD70B2" w:rsidP="00651E3C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0D3F53">
              <w:rPr>
                <w:rFonts w:cs="Arial"/>
                <w:szCs w:val="22"/>
              </w:rPr>
              <w:t>$</w:t>
            </w:r>
            <w:r w:rsidR="00A8637C">
              <w:rPr>
                <w:rFonts w:cs="Arial"/>
                <w:szCs w:val="22"/>
              </w:rPr>
              <w:t>1.</w:t>
            </w:r>
            <w:r w:rsidR="00FB6011">
              <w:rPr>
                <w:rFonts w:cs="Arial"/>
                <w:szCs w:val="22"/>
              </w:rPr>
              <w:t>9795</w:t>
            </w:r>
          </w:p>
        </w:tc>
      </w:tr>
      <w:tr w:rsidR="00173D41" w:rsidRPr="00B06495" w14:paraId="206AE912" w14:textId="77777777" w:rsidTr="0019540D">
        <w:trPr>
          <w:trHeight w:val="3221"/>
        </w:trPr>
        <w:tc>
          <w:tcPr>
            <w:tcW w:w="2015" w:type="dxa"/>
            <w:shd w:val="clear" w:color="auto" w:fill="BFBFBF"/>
          </w:tcPr>
          <w:p w14:paraId="50A36E0B" w14:textId="7777777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Management Costs:</w:t>
            </w:r>
          </w:p>
        </w:tc>
        <w:tc>
          <w:tcPr>
            <w:tcW w:w="2771" w:type="dxa"/>
            <w:shd w:val="clear" w:color="auto" w:fill="BFBFBF"/>
          </w:tcPr>
          <w:p w14:paraId="28C17324" w14:textId="6A6E506A" w:rsidR="00173D41" w:rsidRPr="00B06495" w:rsidRDefault="00173D41" w:rsidP="00D103F1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 xml:space="preserve">No direct fees are charged for the management of CF-3. However, as part of the Funds in Court cost recovery process, </w:t>
            </w:r>
            <w:r w:rsidR="00202A95">
              <w:rPr>
                <w:rFonts w:cs="Arial"/>
                <w:szCs w:val="22"/>
              </w:rPr>
              <w:t>clients</w:t>
            </w:r>
            <w:r w:rsidRPr="00B06495">
              <w:rPr>
                <w:rFonts w:cs="Arial"/>
                <w:szCs w:val="22"/>
              </w:rPr>
              <w:t xml:space="preserve"> with an allocation to both CF-3 and Common Fund No. 2 [CF-2] will be credited with a CF-2 annual crediting rate, that is, 0.20% less than the crediting rate for </w:t>
            </w:r>
            <w:r w:rsidR="00202A95">
              <w:rPr>
                <w:rFonts w:cs="Arial"/>
                <w:szCs w:val="22"/>
              </w:rPr>
              <w:t>clients</w:t>
            </w:r>
            <w:r w:rsidRPr="00B06495">
              <w:rPr>
                <w:rFonts w:cs="Arial"/>
                <w:szCs w:val="22"/>
              </w:rPr>
              <w:t xml:space="preserve"> with an allocation to CF-2 only.</w:t>
            </w:r>
          </w:p>
        </w:tc>
      </w:tr>
    </w:tbl>
    <w:p w14:paraId="407C2BD5" w14:textId="2DC599B1" w:rsidR="009956A9" w:rsidRDefault="006D7290" w:rsidP="00A94AF6">
      <w:pPr>
        <w:pStyle w:val="Body"/>
        <w:sectPr w:rsidR="009956A9" w:rsidSect="00C7101D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2835" w:right="1418" w:bottom="1134" w:left="1134" w:header="1134" w:footer="851" w:gutter="0"/>
          <w:cols w:num="2" w:space="284"/>
        </w:sect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654E41B" wp14:editId="10A5EC27">
                <wp:simplePos x="0" y="0"/>
                <wp:positionH relativeFrom="column">
                  <wp:align>left</wp:align>
                </wp:positionH>
                <wp:positionV relativeFrom="paragraph">
                  <wp:posOffset>269875</wp:posOffset>
                </wp:positionV>
                <wp:extent cx="3037205" cy="93345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7205" cy="93345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989E6" w14:textId="77777777" w:rsidR="00FB7E5E" w:rsidRPr="005B3541" w:rsidRDefault="00FB7E5E" w:rsidP="00173D41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B3541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PLEASE NOTE:</w:t>
                            </w:r>
                          </w:p>
                          <w:p w14:paraId="08AC0251" w14:textId="77777777" w:rsidR="00FB7E5E" w:rsidRPr="005B3541" w:rsidRDefault="00FB7E5E" w:rsidP="00173D41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B3541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For further information on the investment risks associated with CF-3 and how FIC seeks to minimise these risks, please refer to the relevant Information Guide on our website at www.fundsincourt.vic.gov.au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4E41B" id="Rectangle 7" o:spid="_x0000_s1027" style="position:absolute;margin-left:0;margin-top:21.25pt;width:239.15pt;height:73.5pt;z-index:-25165875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" fillcolor="maroon" stroked="f">
                <v:textbox>
                  <w:txbxContent>
                    <w:p w14:paraId="237989E6" w14:textId="77777777" w:rsidR="00FB7E5E" w:rsidRPr="005B3541" w:rsidRDefault="00FB7E5E" w:rsidP="00173D41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5B3541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>PLEASE NOTE:</w:t>
                      </w:r>
                    </w:p>
                    <w:p w14:paraId="08AC0251" w14:textId="77777777" w:rsidR="00FB7E5E" w:rsidRPr="005B3541" w:rsidRDefault="00FB7E5E" w:rsidP="00173D41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5B3541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>For further information on the investment risks associated with CF-3 and how FIC seeks to minimise these risks, please refer to the relevant Information Guide on our website at www.fundsincourt.vic.gov.au</w:t>
                      </w:r>
                    </w:p>
                  </w:txbxContent>
                </v:textbox>
              </v:rect>
            </w:pict>
          </mc:Fallback>
        </mc:AlternateContent>
      </w:r>
    </w:p>
    <w:p w14:paraId="76AA717A" w14:textId="77777777" w:rsidR="007842D0" w:rsidRDefault="007842D0" w:rsidP="001D23E8">
      <w:pPr>
        <w:jc w:val="both"/>
        <w:rPr>
          <w:rFonts w:cs="Arial"/>
          <w:b/>
          <w:color w:val="943634"/>
          <w:szCs w:val="22"/>
        </w:rPr>
        <w:sectPr w:rsidR="007842D0" w:rsidSect="00C7101D">
          <w:type w:val="continuous"/>
          <w:pgSz w:w="11900" w:h="16840"/>
          <w:pgMar w:top="2835" w:right="1418" w:bottom="1134" w:left="1134" w:header="1134" w:footer="851" w:gutter="0"/>
          <w:cols w:num="2" w:space="284"/>
        </w:sectPr>
      </w:pPr>
    </w:p>
    <w:p w14:paraId="6A11CB90" w14:textId="77777777" w:rsidR="009A0F6B" w:rsidRDefault="009A0F6B" w:rsidP="009A0F6B">
      <w:pPr>
        <w:jc w:val="both"/>
        <w:rPr>
          <w:rFonts w:cs="Arial"/>
          <w:b/>
          <w:bCs/>
          <w:caps/>
          <w:color w:val="971E32"/>
          <w:sz w:val="24"/>
        </w:rPr>
      </w:pPr>
      <w:r w:rsidRPr="00EA5521">
        <w:rPr>
          <w:rFonts w:cs="Arial"/>
          <w:b/>
          <w:color w:val="943634"/>
          <w:szCs w:val="22"/>
        </w:rPr>
        <w:lastRenderedPageBreak/>
        <w:t>Total Return</w:t>
      </w:r>
      <w:r w:rsidRPr="00F162E9">
        <w:rPr>
          <w:rFonts w:cs="Arial"/>
          <w:b/>
          <w:bCs/>
          <w:caps/>
          <w:color w:val="971E32"/>
          <w:sz w:val="24"/>
        </w:rPr>
        <w:t xml:space="preserve"> </w:t>
      </w:r>
    </w:p>
    <w:p w14:paraId="47BB4474" w14:textId="77777777" w:rsidR="00563978" w:rsidRPr="00F162E9" w:rsidRDefault="00563978" w:rsidP="009A0F6B">
      <w:pPr>
        <w:jc w:val="both"/>
        <w:rPr>
          <w:rFonts w:cs="Arial"/>
          <w:b/>
          <w:bCs/>
          <w:caps/>
          <w:color w:val="971E32"/>
          <w:sz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992"/>
        <w:gridCol w:w="992"/>
        <w:gridCol w:w="992"/>
        <w:gridCol w:w="993"/>
        <w:gridCol w:w="992"/>
        <w:gridCol w:w="992"/>
        <w:gridCol w:w="993"/>
      </w:tblGrid>
      <w:tr w:rsidR="005A3832" w:rsidRPr="0033316C" w14:paraId="1E6A7059" w14:textId="77777777" w:rsidTr="005A3832">
        <w:tc>
          <w:tcPr>
            <w:tcW w:w="2410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763DFA9E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As at</w:t>
            </w:r>
          </w:p>
          <w:p w14:paraId="42C46F7E" w14:textId="435288A9" w:rsidR="005A3832" w:rsidRPr="0033316C" w:rsidRDefault="005A3832" w:rsidP="004D144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 xml:space="preserve"> </w:t>
            </w:r>
            <w:r w:rsidR="00594355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3</w:t>
            </w:r>
            <w:r w:rsidR="004D1449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1</w:t>
            </w:r>
            <w:r w:rsidR="00594355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 xml:space="preserve"> </w:t>
            </w:r>
            <w:r w:rsidR="00131CA9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March</w:t>
            </w:r>
            <w:r w:rsidR="00E75EEE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 xml:space="preserve"> </w:t>
            </w:r>
            <w:r w:rsidR="009128DB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202</w:t>
            </w:r>
            <w:r w:rsidR="00131CA9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04F6046D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Qtr </w:t>
            </w:r>
          </w:p>
          <w:p w14:paraId="6D14804B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468AAE03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1 Yr</w:t>
            </w:r>
          </w:p>
          <w:p w14:paraId="5142912A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% </w:t>
            </w:r>
          </w:p>
        </w:tc>
        <w:tc>
          <w:tcPr>
            <w:tcW w:w="99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01C7DD91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3 Yr </w:t>
            </w:r>
          </w:p>
          <w:p w14:paraId="6B8BA6F7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 p.a.</w:t>
            </w:r>
          </w:p>
        </w:tc>
        <w:tc>
          <w:tcPr>
            <w:tcW w:w="993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679140C6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5 Yr </w:t>
            </w:r>
          </w:p>
          <w:p w14:paraId="4A6EE430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 p.a.</w:t>
            </w:r>
          </w:p>
        </w:tc>
        <w:tc>
          <w:tcPr>
            <w:tcW w:w="99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1B34F3BC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7 Yr </w:t>
            </w:r>
          </w:p>
          <w:p w14:paraId="59773528" w14:textId="77777777" w:rsidR="005A3832" w:rsidRPr="0033316C" w:rsidRDefault="005A3832" w:rsidP="00AB0D7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 p.a.</w:t>
            </w:r>
          </w:p>
        </w:tc>
        <w:tc>
          <w:tcPr>
            <w:tcW w:w="99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4D3F32C5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10 Yr </w:t>
            </w:r>
          </w:p>
          <w:p w14:paraId="0C8B9758" w14:textId="77777777" w:rsidR="005A3832" w:rsidRPr="0033316C" w:rsidRDefault="005A3832" w:rsidP="00AB0D7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 p.a.</w:t>
            </w:r>
          </w:p>
        </w:tc>
        <w:tc>
          <w:tcPr>
            <w:tcW w:w="993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6239D466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Since Inc.^ </w:t>
            </w:r>
          </w:p>
          <w:p w14:paraId="5F962731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% p.a. </w:t>
            </w:r>
          </w:p>
        </w:tc>
      </w:tr>
      <w:tr w:rsidR="005A3832" w:rsidRPr="0033316C" w14:paraId="413B76EF" w14:textId="77777777" w:rsidTr="005A3832">
        <w:tc>
          <w:tcPr>
            <w:tcW w:w="2410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D9D9D9"/>
          </w:tcPr>
          <w:p w14:paraId="7464CF3C" w14:textId="77777777" w:rsidR="005A3832" w:rsidRPr="0033316C" w:rsidRDefault="005A3832" w:rsidP="000921C9">
            <w:pPr>
              <w:pStyle w:val="BodyText"/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5A6F26E2" w14:textId="77777777" w:rsidR="005A3832" w:rsidRPr="0033316C" w:rsidRDefault="005A3832" w:rsidP="000921C9">
            <w:pPr>
              <w:pStyle w:val="BodyText"/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Cs/>
                <w:sz w:val="18"/>
                <w:szCs w:val="18"/>
                <w:lang w:val="en-US"/>
              </w:rPr>
              <w:t>CF-3</w:t>
            </w:r>
          </w:p>
        </w:tc>
        <w:tc>
          <w:tcPr>
            <w:tcW w:w="992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D9D9D9"/>
          </w:tcPr>
          <w:p w14:paraId="75339021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562D2EA2" w14:textId="3EA398CD" w:rsidR="005A3832" w:rsidRPr="0033316C" w:rsidRDefault="00127FFA" w:rsidP="001C198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3.5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1E62E561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53067CA0" w14:textId="460A4275" w:rsidR="005A3832" w:rsidRPr="0033316C" w:rsidRDefault="00814E72" w:rsidP="00C201D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14.</w:t>
            </w:r>
            <w:r w:rsidR="00832CE9"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AE7DD6B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C261CCC" w14:textId="2DE1B10B" w:rsidR="005A3832" w:rsidRPr="0033316C" w:rsidRDefault="00832CE9" w:rsidP="00814E72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9</w:t>
            </w:r>
            <w:r w:rsidR="00814E72">
              <w:rPr>
                <w:rFonts w:ascii="Arial" w:hAnsi="Arial" w:cs="Arial"/>
                <w:bCs/>
                <w:sz w:val="18"/>
                <w:szCs w:val="18"/>
                <w:lang w:val="en-US"/>
              </w:rPr>
              <w:t>.8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0D2BB087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01FEC9B" w14:textId="6D4533F7" w:rsidR="005A3832" w:rsidRPr="0033316C" w:rsidRDefault="00832CE9" w:rsidP="00A4727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8.3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43C4CDAD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701337BE" w14:textId="44FE4B57" w:rsidR="005A3832" w:rsidRPr="0033316C" w:rsidRDefault="00814E72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7.</w:t>
            </w:r>
            <w:r w:rsidR="00F56549"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C4E6252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561EA5A6" w14:textId="69B58562" w:rsidR="005A3832" w:rsidRPr="0033316C" w:rsidRDefault="00F56549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7.1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70C5C48B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E11F045" w14:textId="4A755857" w:rsidR="005A3832" w:rsidRPr="0033316C" w:rsidRDefault="00814E72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8.</w:t>
            </w:r>
            <w:r w:rsidR="00F56549">
              <w:rPr>
                <w:rFonts w:ascii="Arial" w:hAnsi="Arial" w:cs="Arial"/>
                <w:bCs/>
                <w:sz w:val="18"/>
                <w:szCs w:val="18"/>
                <w:lang w:val="en-US"/>
              </w:rPr>
              <w:t>7</w:t>
            </w:r>
          </w:p>
        </w:tc>
      </w:tr>
      <w:tr w:rsidR="005A3832" w:rsidRPr="0033316C" w14:paraId="1DA9CE44" w14:textId="77777777" w:rsidTr="005A3832">
        <w:tc>
          <w:tcPr>
            <w:tcW w:w="2410" w:type="dxa"/>
            <w:tcBorders>
              <w:right w:val="single" w:sz="18" w:space="0" w:color="FFFFFF"/>
            </w:tcBorders>
            <w:shd w:val="clear" w:color="auto" w:fill="D9D9D9"/>
          </w:tcPr>
          <w:p w14:paraId="214E9002" w14:textId="77777777" w:rsidR="005A3832" w:rsidRPr="0033316C" w:rsidRDefault="005A3832" w:rsidP="000921C9">
            <w:pPr>
              <w:pStyle w:val="BodyText"/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Cs/>
                <w:sz w:val="18"/>
                <w:szCs w:val="18"/>
              </w:rPr>
              <w:t>S&amp;P/ASX 50</w:t>
            </w:r>
          </w:p>
        </w:tc>
        <w:tc>
          <w:tcPr>
            <w:tcW w:w="992" w:type="dxa"/>
            <w:tcBorders>
              <w:right w:val="single" w:sz="18" w:space="0" w:color="FFFFFF"/>
            </w:tcBorders>
            <w:shd w:val="clear" w:color="auto" w:fill="D9D9D9"/>
          </w:tcPr>
          <w:p w14:paraId="5DF766C1" w14:textId="01D0E062" w:rsidR="005A3832" w:rsidRPr="0033316C" w:rsidRDefault="00890F8E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5.0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772DE5A2" w14:textId="48DDB360" w:rsidR="005A3832" w:rsidRPr="0033316C" w:rsidRDefault="005D54A9" w:rsidP="00DA179B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  <w:r w:rsidR="00890F8E">
              <w:rPr>
                <w:rFonts w:ascii="Arial" w:hAnsi="Arial" w:cs="Arial"/>
                <w:bCs/>
                <w:sz w:val="18"/>
                <w:szCs w:val="18"/>
                <w:lang w:val="en-US"/>
              </w:rPr>
              <w:t>4</w:t>
            </w:r>
            <w:r w:rsidR="00DA179B">
              <w:rPr>
                <w:rFonts w:ascii="Arial" w:hAnsi="Arial" w:cs="Arial"/>
                <w:bCs/>
                <w:sz w:val="18"/>
                <w:szCs w:val="18"/>
                <w:lang w:val="en-US"/>
              </w:rPr>
              <w:t>.4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6CF6ACB" w14:textId="7218F386" w:rsidR="005A3832" w:rsidRPr="0033316C" w:rsidRDefault="00500A07" w:rsidP="001C198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  <w:r w:rsidR="00DA179B">
              <w:rPr>
                <w:rFonts w:ascii="Arial" w:hAnsi="Arial" w:cs="Arial"/>
                <w:bCs/>
                <w:sz w:val="18"/>
                <w:szCs w:val="18"/>
                <w:lang w:val="en-US"/>
              </w:rPr>
              <w:t>0.</w:t>
            </w:r>
            <w:r w:rsidR="00890F8E"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4E40B9CC" w14:textId="5E76E92A" w:rsidR="005A3832" w:rsidRPr="0033316C" w:rsidRDefault="00890F8E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9.3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424AEF6" w14:textId="1E674161" w:rsidR="005A3832" w:rsidRPr="0033316C" w:rsidRDefault="00DA179B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8.6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E58E3C4" w14:textId="60D12A07" w:rsidR="005A3832" w:rsidRPr="0033316C" w:rsidRDefault="00EC719A" w:rsidP="00B0044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8.0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326AC39" w14:textId="708B14F2" w:rsidR="005A3832" w:rsidRPr="0033316C" w:rsidRDefault="00DA179B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8.</w:t>
            </w:r>
            <w:r w:rsidR="008F0D26">
              <w:rPr>
                <w:rFonts w:ascii="Arial" w:hAnsi="Arial" w:cs="Arial"/>
                <w:bCs/>
                <w:sz w:val="18"/>
                <w:szCs w:val="18"/>
                <w:lang w:val="en-US"/>
              </w:rPr>
              <w:t>8</w:t>
            </w:r>
          </w:p>
        </w:tc>
      </w:tr>
      <w:tr w:rsidR="005A3832" w:rsidRPr="0033316C" w14:paraId="14E94081" w14:textId="77777777" w:rsidTr="005A3832">
        <w:tc>
          <w:tcPr>
            <w:tcW w:w="2410" w:type="dxa"/>
            <w:tcBorders>
              <w:right w:val="single" w:sz="18" w:space="0" w:color="FFFFFF"/>
            </w:tcBorders>
            <w:shd w:val="clear" w:color="auto" w:fill="D9D9D9"/>
          </w:tcPr>
          <w:p w14:paraId="165ACC17" w14:textId="77777777" w:rsidR="005A3832" w:rsidRPr="0033316C" w:rsidRDefault="007B317C" w:rsidP="000921C9">
            <w:pPr>
              <w:pStyle w:val="BodyText"/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Difference</w:t>
            </w:r>
          </w:p>
        </w:tc>
        <w:tc>
          <w:tcPr>
            <w:tcW w:w="992" w:type="dxa"/>
            <w:tcBorders>
              <w:right w:val="single" w:sz="18" w:space="0" w:color="FFFFFF"/>
            </w:tcBorders>
            <w:shd w:val="clear" w:color="auto" w:fill="D9D9D9"/>
          </w:tcPr>
          <w:p w14:paraId="3454497A" w14:textId="3CB9B874" w:rsidR="005A3832" w:rsidRPr="0033316C" w:rsidRDefault="009F3B42" w:rsidP="00500A0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C72052">
              <w:rPr>
                <w:rFonts w:ascii="Arial" w:hAnsi="Arial" w:cs="Arial"/>
                <w:bCs/>
                <w:sz w:val="18"/>
                <w:szCs w:val="18"/>
                <w:lang w:val="en-US"/>
              </w:rPr>
              <w:t>1.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0938CDD" w14:textId="58ADB33A" w:rsidR="005A3832" w:rsidRPr="0033316C" w:rsidRDefault="006D6910" w:rsidP="00554EA1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C72052">
              <w:rPr>
                <w:rFonts w:ascii="Arial" w:hAnsi="Arial" w:cs="Arial"/>
                <w:bCs/>
                <w:sz w:val="18"/>
                <w:szCs w:val="18"/>
                <w:lang w:val="en-US"/>
              </w:rPr>
              <w:t>0.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578FAEF5" w14:textId="6EC404A7" w:rsidR="005A3832" w:rsidRPr="0033316C" w:rsidRDefault="006D6910" w:rsidP="00500A0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C72052">
              <w:rPr>
                <w:rFonts w:ascii="Arial" w:hAnsi="Arial" w:cs="Arial"/>
                <w:bCs/>
                <w:sz w:val="18"/>
                <w:szCs w:val="18"/>
                <w:lang w:val="en-US"/>
              </w:rPr>
              <w:t>0.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E37E171" w14:textId="0145A092" w:rsidR="005A3832" w:rsidRPr="0033316C" w:rsidRDefault="00B0044E" w:rsidP="005D54A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B359CD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00D0903C" w14:textId="798C8022" w:rsidR="005A3832" w:rsidRPr="0033316C" w:rsidRDefault="005A3832" w:rsidP="00500A0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636C3A"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  <w:r w:rsidR="00554EA1"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 w:rsidR="00636C3A"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5C39FBA7" w14:textId="46359E06" w:rsidR="005A3832" w:rsidRPr="0033316C" w:rsidRDefault="00B0044E" w:rsidP="001B5B9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C72052">
              <w:rPr>
                <w:rFonts w:ascii="Arial" w:hAnsi="Arial" w:cs="Arial"/>
                <w:bCs/>
                <w:sz w:val="18"/>
                <w:szCs w:val="18"/>
                <w:lang w:val="en-US"/>
              </w:rPr>
              <w:t>0.</w:t>
            </w:r>
            <w:r w:rsidR="00636C3A">
              <w:rPr>
                <w:rFonts w:ascii="Arial" w:hAnsi="Arial" w:cs="Arial"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77815CE" w14:textId="77A45EBA" w:rsidR="005A3832" w:rsidRPr="0033316C" w:rsidRDefault="00636C3A" w:rsidP="0059435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B0044E">
              <w:rPr>
                <w:rFonts w:ascii="Arial" w:hAnsi="Arial" w:cs="Arial"/>
                <w:bCs/>
                <w:sz w:val="18"/>
                <w:szCs w:val="18"/>
                <w:lang w:val="en-US"/>
              </w:rPr>
              <w:t>0.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</w:p>
        </w:tc>
      </w:tr>
      <w:tr w:rsidR="005A3832" w:rsidRPr="0033316C" w14:paraId="7046E04C" w14:textId="77777777" w:rsidTr="005A3832">
        <w:tc>
          <w:tcPr>
            <w:tcW w:w="2410" w:type="dxa"/>
            <w:tcBorders>
              <w:right w:val="single" w:sz="18" w:space="0" w:color="FFFFFF"/>
            </w:tcBorders>
            <w:shd w:val="clear" w:color="auto" w:fill="D9D9D9"/>
          </w:tcPr>
          <w:p w14:paraId="535C3EF9" w14:textId="77777777" w:rsidR="005A3832" w:rsidRPr="0033316C" w:rsidRDefault="005A3832" w:rsidP="000921C9">
            <w:pPr>
              <w:pStyle w:val="BodyText"/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3316C">
              <w:rPr>
                <w:rFonts w:ascii="Arial" w:hAnsi="Arial" w:cs="Arial"/>
                <w:bCs/>
                <w:sz w:val="18"/>
                <w:szCs w:val="18"/>
              </w:rPr>
              <w:t>CF-3 Including Franking</w:t>
            </w:r>
          </w:p>
        </w:tc>
        <w:tc>
          <w:tcPr>
            <w:tcW w:w="992" w:type="dxa"/>
            <w:tcBorders>
              <w:right w:val="single" w:sz="18" w:space="0" w:color="FFFFFF"/>
            </w:tcBorders>
            <w:shd w:val="clear" w:color="auto" w:fill="D9D9D9"/>
          </w:tcPr>
          <w:p w14:paraId="14E8B372" w14:textId="6193A721" w:rsidR="005A3832" w:rsidRPr="0033316C" w:rsidRDefault="009B5F8A" w:rsidP="0072629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  <w:r w:rsidR="003814D7">
              <w:rPr>
                <w:rFonts w:ascii="Arial" w:hAnsi="Arial" w:cs="Arial"/>
                <w:bCs/>
                <w:sz w:val="18"/>
                <w:szCs w:val="18"/>
                <w:lang w:val="en-US"/>
              </w:rPr>
              <w:t>.8</w:t>
            </w:r>
          </w:p>
        </w:tc>
        <w:tc>
          <w:tcPr>
            <w:tcW w:w="992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</w:tcPr>
          <w:p w14:paraId="3E38DFDA" w14:textId="51CF9D35" w:rsidR="005A3832" w:rsidRPr="0033316C" w:rsidRDefault="00E0777F" w:rsidP="003814D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  <w:r w:rsidR="003814D7">
              <w:rPr>
                <w:rFonts w:ascii="Arial" w:hAnsi="Arial" w:cs="Arial"/>
                <w:bCs/>
                <w:sz w:val="18"/>
                <w:szCs w:val="18"/>
                <w:lang w:val="en-US"/>
              </w:rPr>
              <w:t>5.</w:t>
            </w:r>
            <w:r w:rsidR="009B5F8A">
              <w:rPr>
                <w:rFonts w:ascii="Arial" w:hAnsi="Arial" w:cs="Arial"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6F073F5" w14:textId="2D21749A" w:rsidR="005A3832" w:rsidRPr="0033316C" w:rsidRDefault="00E0777F" w:rsidP="003814D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  <w:r w:rsidR="009B5F8A"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  <w:r w:rsidR="003814D7">
              <w:rPr>
                <w:rFonts w:ascii="Arial" w:hAnsi="Arial" w:cs="Arial"/>
                <w:bCs/>
                <w:sz w:val="18"/>
                <w:szCs w:val="18"/>
                <w:lang w:val="en-US"/>
              </w:rPr>
              <w:t>.5</w:t>
            </w:r>
          </w:p>
        </w:tc>
        <w:tc>
          <w:tcPr>
            <w:tcW w:w="993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</w:tcPr>
          <w:p w14:paraId="719D3599" w14:textId="59AC8F02" w:rsidR="005A3832" w:rsidRPr="0033316C" w:rsidRDefault="00BC2FB2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9.8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71E263E" w14:textId="609CCCDB" w:rsidR="005A3832" w:rsidRPr="0033316C" w:rsidRDefault="003814D7" w:rsidP="006C4B04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9.</w:t>
            </w:r>
            <w:r w:rsidR="00BC2FB2"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</w:tcPr>
          <w:p w14:paraId="1AADF583" w14:textId="05D79775" w:rsidR="005A3832" w:rsidRPr="0033316C" w:rsidRDefault="003814D7" w:rsidP="000C4A96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8.</w:t>
            </w:r>
            <w:r w:rsidR="001B4A70">
              <w:rPr>
                <w:rFonts w:ascii="Arial" w:hAnsi="Arial" w:cs="Arial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1EB06607" w14:textId="5C26478D" w:rsidR="005A3832" w:rsidRPr="0033316C" w:rsidRDefault="00731FF7" w:rsidP="002F2FAC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3814D7">
              <w:rPr>
                <w:rFonts w:ascii="Arial" w:hAnsi="Arial" w:cs="Arial"/>
                <w:bCs/>
                <w:sz w:val="18"/>
                <w:szCs w:val="18"/>
                <w:lang w:val="en-US"/>
              </w:rPr>
              <w:t>10.</w:t>
            </w:r>
            <w:r w:rsidR="001B4A70">
              <w:rPr>
                <w:rFonts w:ascii="Arial" w:hAnsi="Arial" w:cs="Arial"/>
                <w:bCs/>
                <w:sz w:val="18"/>
                <w:szCs w:val="18"/>
                <w:lang w:val="en-US"/>
              </w:rPr>
              <w:t>4</w:t>
            </w:r>
          </w:p>
        </w:tc>
      </w:tr>
    </w:tbl>
    <w:p w14:paraId="07645AEB" w14:textId="4C773B59" w:rsidR="009A0F6B" w:rsidRDefault="005A3832" w:rsidP="00F7780D">
      <w:pPr>
        <w:rPr>
          <w:rFonts w:cs="Arial"/>
          <w:b/>
          <w:color w:val="943634"/>
          <w:szCs w:val="22"/>
        </w:rPr>
      </w:pPr>
      <w:r w:rsidRPr="0033316C">
        <w:rPr>
          <w:rFonts w:cs="Arial"/>
          <w:i/>
          <w:sz w:val="18"/>
          <w:szCs w:val="18"/>
        </w:rPr>
        <w:t xml:space="preserve">^ </w:t>
      </w:r>
      <w:r w:rsidR="009A0F6B" w:rsidRPr="0033316C">
        <w:rPr>
          <w:rFonts w:cs="Arial"/>
          <w:i/>
          <w:sz w:val="18"/>
          <w:szCs w:val="18"/>
        </w:rPr>
        <w:t>CF-3 commenced on 1 July 2004.</w:t>
      </w:r>
      <w:r w:rsidR="00F7780D">
        <w:rPr>
          <w:rFonts w:cs="Arial"/>
          <w:i/>
          <w:sz w:val="18"/>
          <w:szCs w:val="18"/>
        </w:rPr>
        <w:br/>
      </w:r>
      <w:r w:rsidR="009A0F6B" w:rsidRPr="0033316C">
        <w:rPr>
          <w:rFonts w:cs="Arial"/>
          <w:i/>
          <w:sz w:val="18"/>
          <w:szCs w:val="18"/>
        </w:rPr>
        <w:t>Past performance is not a reliable indicator of future performance.</w:t>
      </w:r>
    </w:p>
    <w:p w14:paraId="30009D99" w14:textId="77777777" w:rsidR="00B517C4" w:rsidRDefault="00B517C4" w:rsidP="001D23E8">
      <w:pPr>
        <w:jc w:val="both"/>
        <w:rPr>
          <w:rFonts w:cs="Arial"/>
          <w:b/>
          <w:color w:val="943634"/>
          <w:szCs w:val="22"/>
        </w:rPr>
        <w:sectPr w:rsidR="00B517C4" w:rsidSect="00C7101D">
          <w:type w:val="continuous"/>
          <w:pgSz w:w="11900" w:h="16840"/>
          <w:pgMar w:top="2835" w:right="1418" w:bottom="1134" w:left="1134" w:header="1134" w:footer="851" w:gutter="0"/>
          <w:cols w:space="284"/>
        </w:sectPr>
      </w:pPr>
    </w:p>
    <w:p w14:paraId="22AAC136" w14:textId="77777777" w:rsidR="001A5212" w:rsidRDefault="001A5212" w:rsidP="001D23E8">
      <w:pPr>
        <w:jc w:val="both"/>
        <w:rPr>
          <w:rFonts w:cs="Arial"/>
          <w:b/>
          <w:color w:val="943634"/>
          <w:szCs w:val="22"/>
        </w:rPr>
      </w:pPr>
    </w:p>
    <w:p w14:paraId="0BC30B2A" w14:textId="77777777" w:rsidR="00B517C4" w:rsidRDefault="001D23E8" w:rsidP="00DA6266">
      <w:pPr>
        <w:jc w:val="both"/>
        <w:rPr>
          <w:rFonts w:cs="Arial"/>
          <w:b/>
          <w:color w:val="943634"/>
          <w:szCs w:val="22"/>
        </w:rPr>
      </w:pPr>
      <w:r w:rsidRPr="0074003D">
        <w:rPr>
          <w:rFonts w:cs="Arial"/>
          <w:b/>
          <w:color w:val="943634"/>
          <w:szCs w:val="22"/>
        </w:rPr>
        <w:t>Holdings</w:t>
      </w:r>
      <w:r w:rsidRPr="00801A7C">
        <w:rPr>
          <w:rFonts w:cs="Arial"/>
          <w:b/>
          <w:color w:val="943634"/>
          <w:szCs w:val="22"/>
        </w:rPr>
        <w:t xml:space="preserve"> </w:t>
      </w:r>
    </w:p>
    <w:p w14:paraId="548FF5DD" w14:textId="77777777" w:rsidR="009C372F" w:rsidRPr="00801A7C" w:rsidRDefault="009C372F" w:rsidP="00DA6266">
      <w:pPr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0"/>
        <w:gridCol w:w="617"/>
      </w:tblGrid>
      <w:tr w:rsidR="00440837" w:rsidRPr="002C7428" w14:paraId="12DF2AFC" w14:textId="77777777" w:rsidTr="002C7428">
        <w:trPr>
          <w:trHeight w:val="241"/>
        </w:trPr>
        <w:tc>
          <w:tcPr>
            <w:tcW w:w="0" w:type="auto"/>
            <w:tcBorders>
              <w:bottom w:val="single" w:sz="12" w:space="0" w:color="FFFFFF"/>
            </w:tcBorders>
            <w:shd w:val="clear" w:color="auto" w:fill="9E3A38"/>
            <w:vAlign w:val="bottom"/>
          </w:tcPr>
          <w:p w14:paraId="31D8148D" w14:textId="77777777" w:rsidR="0008177A" w:rsidRPr="002C7428" w:rsidRDefault="00876705" w:rsidP="00EC45D7">
            <w:pPr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2C7428">
              <w:rPr>
                <w:rFonts w:cs="Arial"/>
                <w:b/>
                <w:bCs/>
                <w:color w:val="FFFFFF"/>
                <w:sz w:val="16"/>
                <w:szCs w:val="16"/>
              </w:rPr>
              <w:t>COMPANY NAME</w:t>
            </w:r>
          </w:p>
        </w:tc>
        <w:tc>
          <w:tcPr>
            <w:tcW w:w="0" w:type="auto"/>
            <w:tcBorders>
              <w:bottom w:val="single" w:sz="12" w:space="0" w:color="FFFFFF"/>
            </w:tcBorders>
            <w:shd w:val="clear" w:color="auto" w:fill="9E3A38"/>
            <w:vAlign w:val="bottom"/>
          </w:tcPr>
          <w:p w14:paraId="499922F7" w14:textId="77777777" w:rsidR="0008177A" w:rsidRPr="002C7428" w:rsidRDefault="0008177A" w:rsidP="002C7428">
            <w:pPr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2C7428">
              <w:rPr>
                <w:rFonts w:cs="Arial"/>
                <w:b/>
                <w:bCs/>
                <w:color w:val="FFFFFF"/>
                <w:sz w:val="16"/>
                <w:szCs w:val="16"/>
              </w:rPr>
              <w:t>%</w:t>
            </w:r>
          </w:p>
        </w:tc>
      </w:tr>
      <w:tr w:rsidR="00F011E0" w:rsidRPr="002C7428" w14:paraId="1334BF64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1680C371" w14:textId="7471C60E" w:rsidR="00F011E0" w:rsidRPr="00DA6266" w:rsidRDefault="00014FA3" w:rsidP="00F011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CSL LIMITED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64D67AE0" w14:textId="2E9499B0" w:rsidR="00F011E0" w:rsidRPr="00DA6266" w:rsidRDefault="0023055A" w:rsidP="00A4194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014FA3">
              <w:rPr>
                <w:color w:val="000000"/>
                <w:sz w:val="16"/>
                <w:szCs w:val="16"/>
              </w:rPr>
              <w:t>2</w:t>
            </w:r>
            <w:r w:rsidR="00D9214B">
              <w:rPr>
                <w:color w:val="000000"/>
                <w:sz w:val="16"/>
                <w:szCs w:val="16"/>
              </w:rPr>
              <w:t>.</w:t>
            </w:r>
            <w:r w:rsidR="00014FA3">
              <w:rPr>
                <w:color w:val="000000"/>
                <w:sz w:val="16"/>
                <w:szCs w:val="16"/>
              </w:rPr>
              <w:t>69</w:t>
            </w:r>
          </w:p>
        </w:tc>
      </w:tr>
      <w:tr w:rsidR="00F011E0" w:rsidRPr="002C7428" w14:paraId="5201FB8E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699F14E6" w14:textId="71DEC3D8" w:rsidR="00F011E0" w:rsidRPr="00DA6266" w:rsidRDefault="00014FA3" w:rsidP="00F011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BHP GROUP LTD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16F1B6E4" w14:textId="4265E7C7" w:rsidR="00F011E0" w:rsidRPr="00DA6266" w:rsidRDefault="007F7DD1" w:rsidP="00A4194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B00B8B">
              <w:rPr>
                <w:color w:val="000000"/>
                <w:sz w:val="16"/>
                <w:szCs w:val="16"/>
              </w:rPr>
              <w:t>1.78</w:t>
            </w:r>
          </w:p>
        </w:tc>
      </w:tr>
      <w:tr w:rsidR="00F011E0" w:rsidRPr="002C7428" w14:paraId="78A2F718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311C4F4D" w14:textId="77777777" w:rsidR="00F011E0" w:rsidRPr="00DA6266" w:rsidRDefault="007F7DD1" w:rsidP="000D40E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COMMONWEALTH </w:t>
            </w:r>
            <w:r w:rsidRPr="000D40E2">
              <w:rPr>
                <w:color w:val="000000"/>
                <w:sz w:val="16"/>
                <w:szCs w:val="16"/>
              </w:rPr>
              <w:t>BANK OF AUSTRALIA</w:t>
            </w:r>
            <w:r>
              <w:rPr>
                <w:color w:val="000000"/>
                <w:sz w:val="16"/>
                <w:szCs w:val="16"/>
              </w:rPr>
              <w:t xml:space="preserve">        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261B1936" w14:textId="6C85D1E6" w:rsidR="00F011E0" w:rsidRPr="00DA6266" w:rsidRDefault="00A8505C" w:rsidP="00DA62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</w:t>
            </w:r>
            <w:r w:rsidR="00B00B8B">
              <w:rPr>
                <w:color w:val="000000"/>
                <w:sz w:val="16"/>
                <w:szCs w:val="16"/>
              </w:rPr>
              <w:t>93</w:t>
            </w:r>
          </w:p>
        </w:tc>
      </w:tr>
      <w:tr w:rsidR="00F011E0" w:rsidRPr="002C7428" w14:paraId="38BD6A31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1EEE42B1" w14:textId="4367BCF0" w:rsidR="00F011E0" w:rsidRPr="00DA6266" w:rsidRDefault="002B67D0" w:rsidP="00F011E0">
            <w:pPr>
              <w:rPr>
                <w:color w:val="000000"/>
                <w:sz w:val="16"/>
                <w:szCs w:val="16"/>
              </w:rPr>
            </w:pPr>
            <w:r w:rsidRPr="00781897">
              <w:rPr>
                <w:color w:val="000000"/>
                <w:sz w:val="16"/>
                <w:szCs w:val="16"/>
              </w:rPr>
              <w:t>MACQUARIE GROUP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3581343A" w14:textId="3DCCFB46" w:rsidR="00F011E0" w:rsidRPr="00DA6266" w:rsidRDefault="007C6BCF" w:rsidP="00F011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5.56</w:t>
            </w:r>
          </w:p>
        </w:tc>
      </w:tr>
      <w:tr w:rsidR="00F011E0" w:rsidRPr="002C7428" w14:paraId="76C9B160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559F9A77" w14:textId="5412C35C" w:rsidR="00F011E0" w:rsidRPr="00DA6266" w:rsidRDefault="007C6BCF" w:rsidP="00F011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GOODMAN GROUP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66F597B4" w14:textId="47EABBC1" w:rsidR="00F011E0" w:rsidRPr="00DA6266" w:rsidRDefault="007F7DD1" w:rsidP="00CE11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  <w:r w:rsidR="007C6BCF">
              <w:rPr>
                <w:color w:val="000000"/>
                <w:sz w:val="16"/>
                <w:szCs w:val="16"/>
              </w:rPr>
              <w:t>24</w:t>
            </w:r>
          </w:p>
        </w:tc>
      </w:tr>
      <w:tr w:rsidR="00F011E0" w:rsidRPr="002C7428" w14:paraId="2161E345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32A699AD" w14:textId="0D1E1BE4" w:rsidR="00F011E0" w:rsidRPr="00DA6266" w:rsidRDefault="00CF3467" w:rsidP="00DA6266">
            <w:pPr>
              <w:rPr>
                <w:color w:val="000000"/>
                <w:sz w:val="16"/>
                <w:szCs w:val="16"/>
              </w:rPr>
            </w:pPr>
            <w:r w:rsidRPr="00920246">
              <w:rPr>
                <w:color w:val="000000"/>
                <w:sz w:val="16"/>
                <w:szCs w:val="16"/>
              </w:rPr>
              <w:t>NATIONAL AUSTRALIA BANK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3C62479B" w14:textId="40147485" w:rsidR="00F011E0" w:rsidRPr="00DA6266" w:rsidRDefault="00CF3467" w:rsidP="00CE11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4.99</w:t>
            </w:r>
          </w:p>
        </w:tc>
      </w:tr>
      <w:tr w:rsidR="007077F0" w:rsidRPr="002C7428" w14:paraId="5D23827E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43589F5D" w14:textId="163CBE32" w:rsidR="007077F0" w:rsidRPr="00DA6266" w:rsidRDefault="00CF3467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JAMES HARDIE INDUSTRIES</w:t>
            </w:r>
            <w:r w:rsidR="00920246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39E68FB2" w14:textId="578F0C9F" w:rsidR="007077F0" w:rsidRPr="00DA6266" w:rsidRDefault="007F7DD1" w:rsidP="00A718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  <w:r w:rsidR="00CF3467">
              <w:rPr>
                <w:color w:val="000000"/>
                <w:sz w:val="16"/>
                <w:szCs w:val="16"/>
              </w:rPr>
              <w:t>97</w:t>
            </w:r>
          </w:p>
        </w:tc>
      </w:tr>
      <w:tr w:rsidR="007077F0" w:rsidRPr="002C7428" w14:paraId="1BE3FB74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36520C04" w14:textId="3756CBF8" w:rsidR="007077F0" w:rsidRPr="00DA6266" w:rsidRDefault="00CF3467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WOOLWORTHS </w:t>
            </w:r>
            <w:r w:rsidRPr="00DA6266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04A3D30B" w14:textId="52813A03" w:rsidR="007077F0" w:rsidRPr="00DA6266" w:rsidRDefault="007F7DD1" w:rsidP="00A718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  <w:r w:rsidR="00CC37F4">
              <w:rPr>
                <w:color w:val="000000"/>
                <w:sz w:val="16"/>
                <w:szCs w:val="16"/>
              </w:rPr>
              <w:t>76</w:t>
            </w:r>
          </w:p>
        </w:tc>
      </w:tr>
      <w:tr w:rsidR="007077F0" w:rsidRPr="002C7428" w14:paraId="34C1C861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14325C4C" w14:textId="77777777" w:rsidR="007077F0" w:rsidRPr="00DA6266" w:rsidRDefault="00DB7A73" w:rsidP="00DA62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TRANSURBAN GROUP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6B0B8A33" w14:textId="562943E3" w:rsidR="007077F0" w:rsidRPr="00DA6266" w:rsidRDefault="00183AFC" w:rsidP="00C609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  <w:r w:rsidR="00CC37F4">
              <w:rPr>
                <w:color w:val="000000"/>
                <w:sz w:val="16"/>
                <w:szCs w:val="16"/>
              </w:rPr>
              <w:t>14</w:t>
            </w:r>
          </w:p>
        </w:tc>
      </w:tr>
      <w:tr w:rsidR="00AD7FF1" w:rsidRPr="002C7428" w14:paraId="082E839C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093102D7" w14:textId="1E423A25" w:rsidR="00AD7FF1" w:rsidRPr="00DA6266" w:rsidRDefault="00183AFC" w:rsidP="00AD7FF1">
            <w:pPr>
              <w:rPr>
                <w:color w:val="000000"/>
                <w:sz w:val="16"/>
                <w:szCs w:val="16"/>
              </w:rPr>
            </w:pPr>
            <w:r w:rsidRPr="00DA6266">
              <w:rPr>
                <w:color w:val="000000"/>
                <w:sz w:val="16"/>
                <w:szCs w:val="16"/>
              </w:rPr>
              <w:t>TELSTRA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38469E2A" w14:textId="7A97C18D" w:rsidR="00AD7FF1" w:rsidRPr="00DA6266" w:rsidRDefault="00183AFC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  <w:r w:rsidR="00CC37F4">
              <w:rPr>
                <w:color w:val="000000"/>
                <w:sz w:val="16"/>
                <w:szCs w:val="16"/>
              </w:rPr>
              <w:t>09</w:t>
            </w:r>
          </w:p>
        </w:tc>
      </w:tr>
      <w:tr w:rsidR="00AD7FF1" w:rsidRPr="002C7428" w14:paraId="638D26E3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7B7B9CAF" w14:textId="31B65B89" w:rsidR="00AD7FF1" w:rsidRPr="00DA6266" w:rsidRDefault="00183AFC" w:rsidP="00DA62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SANTOS LIMITED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5036DB70" w14:textId="58C8D85C" w:rsidR="00AD7FF1" w:rsidRPr="00DA6266" w:rsidRDefault="00183AFC" w:rsidP="00DA62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</w:t>
            </w:r>
            <w:r w:rsidR="005E1595">
              <w:rPr>
                <w:color w:val="000000"/>
                <w:sz w:val="16"/>
                <w:szCs w:val="16"/>
              </w:rPr>
              <w:t>1</w:t>
            </w:r>
          </w:p>
        </w:tc>
      </w:tr>
      <w:tr w:rsidR="00AD7FF1" w:rsidRPr="002C7428" w14:paraId="68912E71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3919AC14" w14:textId="52AE86DD" w:rsidR="00AD7FF1" w:rsidRPr="00DA6266" w:rsidRDefault="005E1595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RESMED INC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28EB5E66" w14:textId="6F7B3846" w:rsidR="00AD7FF1" w:rsidRPr="00DA6266" w:rsidRDefault="00183AFC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  <w:r w:rsidR="00712AE6">
              <w:rPr>
                <w:color w:val="000000"/>
                <w:sz w:val="16"/>
                <w:szCs w:val="16"/>
              </w:rPr>
              <w:t>42</w:t>
            </w:r>
          </w:p>
        </w:tc>
      </w:tr>
      <w:tr w:rsidR="00AD7FF1" w:rsidRPr="002C7428" w14:paraId="267AF880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24AF9884" w14:textId="380A43F5" w:rsidR="00AD7FF1" w:rsidRPr="00DA6266" w:rsidRDefault="00712AE6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RIO TINTO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7F7AD644" w14:textId="712F0329" w:rsidR="00AD7FF1" w:rsidRPr="00DA6266" w:rsidRDefault="00C60902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  <w:r w:rsidR="006D50B5">
              <w:rPr>
                <w:color w:val="000000"/>
                <w:sz w:val="16"/>
                <w:szCs w:val="16"/>
              </w:rPr>
              <w:t>32</w:t>
            </w:r>
          </w:p>
        </w:tc>
      </w:tr>
      <w:tr w:rsidR="00AD7FF1" w:rsidRPr="002C7428" w14:paraId="7EDFA9F9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569BFB79" w14:textId="6023F63D" w:rsidR="00AD7FF1" w:rsidRPr="00DA6266" w:rsidRDefault="00183AFC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COMPUTERSHARE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390B3AE8" w14:textId="5F1785AA" w:rsidR="00AD7FF1" w:rsidRPr="00DA6266" w:rsidRDefault="00183AFC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  <w:r w:rsidR="006D50B5">
              <w:rPr>
                <w:color w:val="000000"/>
                <w:sz w:val="16"/>
                <w:szCs w:val="16"/>
              </w:rPr>
              <w:t>27</w:t>
            </w:r>
          </w:p>
        </w:tc>
      </w:tr>
      <w:tr w:rsidR="00AD7FF1" w:rsidRPr="002C7428" w14:paraId="213F3395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6588B189" w14:textId="6C0D00FB" w:rsidR="00AD7FF1" w:rsidRPr="00DA6266" w:rsidRDefault="009B78A8" w:rsidP="00AD7FF1">
            <w:pPr>
              <w:rPr>
                <w:color w:val="000000"/>
                <w:sz w:val="16"/>
                <w:szCs w:val="16"/>
              </w:rPr>
            </w:pPr>
            <w:r w:rsidRPr="000D40E2">
              <w:rPr>
                <w:color w:val="000000"/>
                <w:sz w:val="16"/>
                <w:szCs w:val="16"/>
              </w:rPr>
              <w:t>WESTPAC BANKING CORPORATION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480FCD2E" w14:textId="4BD5BA43" w:rsidR="00AD7FF1" w:rsidRPr="00DA6266" w:rsidRDefault="009B78A8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3.14</w:t>
            </w:r>
          </w:p>
        </w:tc>
      </w:tr>
      <w:tr w:rsidR="00AD7FF1" w:rsidRPr="002C7428" w14:paraId="1639DE9C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10AA94C1" w14:textId="52FAA60E" w:rsidR="00AD7FF1" w:rsidRPr="00DA6266" w:rsidRDefault="00A21217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SEEK LIMITED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7B19575F" w14:textId="67D609FF" w:rsidR="00AD7FF1" w:rsidRPr="00DA6266" w:rsidRDefault="00A21217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</w:t>
            </w:r>
          </w:p>
        </w:tc>
      </w:tr>
      <w:tr w:rsidR="00AD7FF1" w:rsidRPr="002C7428" w14:paraId="735DA6B7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451DCD54" w14:textId="1BAE631F" w:rsidR="00AD7FF1" w:rsidRPr="00DA6266" w:rsidRDefault="00B947AB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CASH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235AF45F" w14:textId="3B4FA864" w:rsidR="00AD7FF1" w:rsidRPr="00DA6266" w:rsidRDefault="00183AFC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  <w:r w:rsidR="00897BAD">
              <w:rPr>
                <w:color w:val="000000"/>
                <w:sz w:val="16"/>
                <w:szCs w:val="16"/>
              </w:rPr>
              <w:t>94</w:t>
            </w:r>
          </w:p>
        </w:tc>
      </w:tr>
      <w:tr w:rsidR="00023972" w:rsidRPr="002C7428" w14:paraId="40AC1A4F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6AD1C240" w14:textId="446A3B2C" w:rsidR="00023972" w:rsidRPr="00DA6266" w:rsidRDefault="00897BAD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FISHER &amp; PAYKEL HEALTHCARE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0C15F030" w14:textId="58AB6FFF" w:rsidR="00023972" w:rsidRPr="00DA6266" w:rsidRDefault="009F0688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2.89</w:t>
            </w:r>
          </w:p>
        </w:tc>
      </w:tr>
      <w:tr w:rsidR="00023972" w:rsidRPr="002C7428" w14:paraId="2C3502C5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257A1D5F" w14:textId="543DCBDC" w:rsidR="00023972" w:rsidRPr="00DA6266" w:rsidRDefault="00C2797A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IDP ED</w:t>
            </w:r>
            <w:r w:rsidR="0002523A">
              <w:rPr>
                <w:color w:val="000000"/>
                <w:sz w:val="16"/>
                <w:szCs w:val="16"/>
              </w:rPr>
              <w:t>UCATION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58C582BA" w14:textId="3B51F02E" w:rsidR="00023972" w:rsidRPr="00DA6266" w:rsidRDefault="00480A5D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</w:t>
            </w:r>
          </w:p>
        </w:tc>
      </w:tr>
      <w:tr w:rsidR="00023972" w:rsidRPr="002C7428" w14:paraId="41073E38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08B81A4F" w14:textId="1F53AB4D" w:rsidR="00023972" w:rsidRPr="00DA6266" w:rsidRDefault="00480A5D" w:rsidP="00C33B5A">
            <w:pPr>
              <w:rPr>
                <w:color w:val="000000"/>
                <w:sz w:val="16"/>
                <w:szCs w:val="16"/>
              </w:rPr>
            </w:pPr>
            <w:r w:rsidRPr="00DA6266">
              <w:rPr>
                <w:color w:val="000000"/>
                <w:sz w:val="16"/>
                <w:szCs w:val="16"/>
              </w:rPr>
              <w:t>AUSTRALIA &amp; NEW ZEALAND BANK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19D5FAE7" w14:textId="1602681A" w:rsidR="00023972" w:rsidRPr="00DA6266" w:rsidRDefault="00480A5D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2.17</w:t>
            </w:r>
          </w:p>
        </w:tc>
      </w:tr>
      <w:tr w:rsidR="00023972" w:rsidRPr="002C7428" w14:paraId="33EEFD2A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4DEABD10" w14:textId="2D2E1956" w:rsidR="00023972" w:rsidRPr="00DA6266" w:rsidRDefault="00480A5D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WOODSIDE ENERGY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4163FD08" w14:textId="0A9FDC43" w:rsidR="00023972" w:rsidRPr="00DA6266" w:rsidRDefault="003D1F7D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</w:t>
            </w:r>
          </w:p>
        </w:tc>
      </w:tr>
    </w:tbl>
    <w:p w14:paraId="3ADE122A" w14:textId="1F644069" w:rsidR="001A5212" w:rsidRPr="00801A7C" w:rsidRDefault="00940B21" w:rsidP="007842D0">
      <w:pPr>
        <w:rPr>
          <w:rFonts w:cs="Arial"/>
          <w:bCs/>
          <w:color w:val="943634"/>
          <w:szCs w:val="22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268EDEE" wp14:editId="799B5E37">
                <wp:simplePos x="0" y="0"/>
                <wp:positionH relativeFrom="column">
                  <wp:posOffset>-229870</wp:posOffset>
                </wp:positionH>
                <wp:positionV relativeFrom="paragraph">
                  <wp:posOffset>779145</wp:posOffset>
                </wp:positionV>
                <wp:extent cx="2830830" cy="897255"/>
                <wp:effectExtent l="0" t="0" r="762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0830" cy="89725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D879" w14:textId="77777777" w:rsidR="00FB7E5E" w:rsidRPr="0033316C" w:rsidRDefault="00FB7E5E" w:rsidP="0078080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3316C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NEED FURTHER INFORMATION?</w:t>
                            </w:r>
                          </w:p>
                          <w:p w14:paraId="30639D3C" w14:textId="77777777" w:rsidR="00FB7E5E" w:rsidRPr="0033316C" w:rsidRDefault="00FB7E5E" w:rsidP="0078080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14:paraId="7893C343" w14:textId="77777777" w:rsidR="00FB7E5E" w:rsidRPr="0033316C" w:rsidRDefault="00FB7E5E" w:rsidP="0078080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3316C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For further information on how we manage your funds please visit the FIC website at </w:t>
                            </w:r>
                            <w:hyperlink r:id="rId13" w:history="1">
                              <w:r w:rsidRPr="0033316C">
                                <w:rPr>
                                  <w:rStyle w:val="Hyperlink"/>
                                  <w:rFonts w:cs="Arial"/>
                                  <w:b/>
                                  <w:color w:val="FFFFFF"/>
                                  <w:sz w:val="18"/>
                                  <w:szCs w:val="18"/>
                                  <w:u w:val="none"/>
                                </w:rPr>
                                <w:t>www.fundsincourt.vic.gov.au</w:t>
                              </w:r>
                            </w:hyperlink>
                            <w:r w:rsidRPr="0033316C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or call </w:t>
                            </w:r>
                          </w:p>
                          <w:p w14:paraId="57B6D195" w14:textId="77777777" w:rsidR="00FB7E5E" w:rsidRPr="0033316C" w:rsidRDefault="00FB7E5E" w:rsidP="0078080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3316C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1300 039 390.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8EDEE" id="Rectangle 8" o:spid="_x0000_s1028" style="position:absolute;margin-left:-18.1pt;margin-top:61.35pt;width:222.9pt;height:70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" fillcolor="maroon" stroked="f">
                <v:textbox>
                  <w:txbxContent>
                    <w:p w14:paraId="6E1ED879" w14:textId="77777777" w:rsidR="00FB7E5E" w:rsidRPr="0033316C" w:rsidRDefault="00FB7E5E" w:rsidP="00780805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33316C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>NEED FURTHER INFORMATION?</w:t>
                      </w:r>
                    </w:p>
                    <w:p w14:paraId="30639D3C" w14:textId="77777777" w:rsidR="00FB7E5E" w:rsidRPr="0033316C" w:rsidRDefault="00FB7E5E" w:rsidP="00780805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14:paraId="7893C343" w14:textId="77777777" w:rsidR="00FB7E5E" w:rsidRPr="0033316C" w:rsidRDefault="00FB7E5E" w:rsidP="00780805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33316C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 xml:space="preserve">For further information on how we manage your funds please visit the FIC website at </w:t>
                      </w:r>
                      <w:hyperlink r:id="rId14" w:history="1">
                        <w:r w:rsidRPr="0033316C">
                          <w:rPr>
                            <w:rStyle w:val="Hyperlink"/>
                            <w:rFonts w:cs="Arial"/>
                            <w:b/>
                            <w:color w:val="FFFFFF"/>
                            <w:sz w:val="18"/>
                            <w:szCs w:val="18"/>
                            <w:u w:val="none"/>
                          </w:rPr>
                          <w:t>www.fundsincourt.vic.gov.au</w:t>
                        </w:r>
                      </w:hyperlink>
                      <w:r w:rsidRPr="0033316C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 xml:space="preserve"> or call </w:t>
                      </w:r>
                    </w:p>
                    <w:p w14:paraId="57B6D195" w14:textId="77777777" w:rsidR="00FB7E5E" w:rsidRPr="0033316C" w:rsidRDefault="00FB7E5E" w:rsidP="00780805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33316C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 xml:space="preserve">1300 039 390. </w:t>
                      </w:r>
                    </w:p>
                  </w:txbxContent>
                </v:textbox>
              </v:rect>
            </w:pict>
          </mc:Fallback>
        </mc:AlternateContent>
      </w:r>
      <w:r w:rsidR="00EC7D24" w:rsidRPr="00801A7C">
        <w:rPr>
          <w:rFonts w:cs="Arial"/>
          <w:bCs/>
          <w:color w:val="943634"/>
          <w:szCs w:val="22"/>
        </w:rPr>
        <w:br w:type="column"/>
      </w:r>
    </w:p>
    <w:p w14:paraId="4D82F928" w14:textId="0EC4FA4F" w:rsidR="00403A98" w:rsidRDefault="00403A98" w:rsidP="007842D0">
      <w:pPr>
        <w:rPr>
          <w:rFonts w:cs="Arial"/>
          <w:b/>
          <w:color w:val="943634"/>
          <w:szCs w:val="22"/>
        </w:rPr>
      </w:pPr>
      <w:r>
        <w:rPr>
          <w:rFonts w:cs="Arial"/>
          <w:b/>
          <w:color w:val="943634"/>
          <w:szCs w:val="22"/>
        </w:rPr>
        <w:t>Sector Exposure</w:t>
      </w:r>
      <w:r w:rsidR="00F7780D">
        <w:rPr>
          <w:rFonts w:cs="Arial"/>
          <w:b/>
          <w:color w:val="943634"/>
          <w:szCs w:val="22"/>
        </w:rPr>
        <w:br/>
      </w:r>
    </w:p>
    <w:p w14:paraId="0FD97C44" w14:textId="23468E2D" w:rsidR="00403A98" w:rsidRDefault="00403A98" w:rsidP="007842D0">
      <w:pPr>
        <w:rPr>
          <w:rFonts w:cs="Arial"/>
          <w:b/>
          <w:color w:val="943634"/>
          <w:szCs w:val="22"/>
        </w:rPr>
      </w:pPr>
      <w:r>
        <w:rPr>
          <w:rStyle w:val="ui-provider"/>
        </w:rPr>
        <w:t>The sector exposure of the Fund has not changed significantly since the previous quarter. CF</w:t>
      </w:r>
      <w:r>
        <w:rPr>
          <w:rStyle w:val="ui-provider"/>
        </w:rPr>
        <w:noBreakHyphen/>
        <w:t>3 continues to invest heavily in financials</w:t>
      </w:r>
      <w:r w:rsidR="004E7537">
        <w:rPr>
          <w:rStyle w:val="ui-provider"/>
        </w:rPr>
        <w:t xml:space="preserve">, </w:t>
      </w:r>
      <w:r>
        <w:rPr>
          <w:rStyle w:val="ui-provider"/>
        </w:rPr>
        <w:t>materials</w:t>
      </w:r>
      <w:r w:rsidR="004E7537">
        <w:rPr>
          <w:rStyle w:val="ui-provider"/>
        </w:rPr>
        <w:t xml:space="preserve"> and health care</w:t>
      </w:r>
      <w:r w:rsidR="00E812F0">
        <w:rPr>
          <w:rStyle w:val="ui-provider"/>
        </w:rPr>
        <w:t>.</w:t>
      </w:r>
    </w:p>
    <w:p w14:paraId="6167E567" w14:textId="77777777" w:rsidR="00403A98" w:rsidRDefault="00403A98" w:rsidP="007842D0">
      <w:pPr>
        <w:rPr>
          <w:rFonts w:cs="Arial"/>
          <w:b/>
          <w:color w:val="943634"/>
          <w:szCs w:val="22"/>
        </w:rPr>
      </w:pPr>
    </w:p>
    <w:p w14:paraId="746B9A90" w14:textId="2581034A" w:rsidR="00876705" w:rsidRPr="00F7780D" w:rsidRDefault="000A0081" w:rsidP="007842D0">
      <w:pPr>
        <w:rPr>
          <w:rFonts w:cs="Arial"/>
          <w:b/>
          <w:color w:val="auto"/>
          <w:sz w:val="20"/>
          <w:szCs w:val="20"/>
        </w:rPr>
      </w:pPr>
      <w:r w:rsidRPr="00F7780D">
        <w:rPr>
          <w:rFonts w:cs="Arial"/>
          <w:b/>
          <w:color w:val="auto"/>
          <w:sz w:val="20"/>
          <w:szCs w:val="20"/>
        </w:rPr>
        <w:t>Figure 2. Current CF-3 Investments by</w:t>
      </w:r>
      <w:r w:rsidR="001432BB" w:rsidRPr="00F7780D">
        <w:rPr>
          <w:rFonts w:cs="Arial"/>
          <w:b/>
          <w:color w:val="auto"/>
          <w:sz w:val="20"/>
          <w:szCs w:val="20"/>
        </w:rPr>
        <w:t xml:space="preserve"> S</w:t>
      </w:r>
      <w:r w:rsidR="007842D0" w:rsidRPr="00F7780D">
        <w:rPr>
          <w:rFonts w:cs="Arial"/>
          <w:b/>
          <w:color w:val="auto"/>
          <w:sz w:val="20"/>
          <w:szCs w:val="20"/>
        </w:rPr>
        <w:t>ector</w:t>
      </w:r>
    </w:p>
    <w:p w14:paraId="57F02676" w14:textId="00B7C30D" w:rsidR="00C55B5B" w:rsidRDefault="007F06F0" w:rsidP="007842D0">
      <w:pPr>
        <w:rPr>
          <w:noProof/>
          <w:lang w:eastAsia="en-AU"/>
        </w:rPr>
      </w:pPr>
      <w:r>
        <w:rPr>
          <w:noProof/>
        </w:rPr>
        <w:drawing>
          <wp:inline distT="0" distB="0" distL="0" distR="0" wp14:anchorId="24C272A3" wp14:editId="487C4626">
            <wp:extent cx="3142615" cy="2457450"/>
            <wp:effectExtent l="0" t="0" r="635" b="0"/>
            <wp:docPr id="1608090084" name="Picture 1" descr="Pie graph. Financials 25.79%. Materials 20.07%. Health Care 19.00%. Communication services 7.20%. Energy 5.28%. Real Estate 5.24%. Consumer Staples 4.76%. Industrials 4.14%. Information Technology 3.27%. Cash and Equivalents 2.94%. Consumer Discretionary 2.31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090084" name="Picture 1" descr="Pie graph. Financials 25.79%. Materials 20.07%. Health Care 19.00%. Communication services 7.20%. Energy 5.28%. Real Estate 5.24%. Consumer Staples 4.76%. Industrials 4.14%. Information Technology 3.27%. Cash and Equivalents 2.94%. Consumer Discretionary 2.31%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893" cy="2467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12BA5" w14:textId="77777777" w:rsidR="00874580" w:rsidRDefault="00874580" w:rsidP="0088430B">
      <w:pPr>
        <w:jc w:val="both"/>
        <w:rPr>
          <w:rFonts w:cs="Arial"/>
          <w:b/>
          <w:color w:val="943634"/>
          <w:szCs w:val="22"/>
        </w:rPr>
      </w:pPr>
    </w:p>
    <w:p w14:paraId="182DCECA" w14:textId="77777777" w:rsidR="00B517C4" w:rsidRPr="0088430B" w:rsidRDefault="00B517C4" w:rsidP="0088430B">
      <w:pPr>
        <w:jc w:val="both"/>
        <w:rPr>
          <w:rFonts w:cs="Arial"/>
          <w:b/>
          <w:color w:val="943634"/>
          <w:szCs w:val="22"/>
        </w:rPr>
      </w:pPr>
      <w:r w:rsidRPr="00941A86">
        <w:rPr>
          <w:rFonts w:cs="Arial"/>
          <w:b/>
          <w:color w:val="943634"/>
          <w:szCs w:val="22"/>
        </w:rPr>
        <w:t>Portfolio Activity</w:t>
      </w:r>
    </w:p>
    <w:p w14:paraId="11BE7447" w14:textId="77777777" w:rsidR="003227CE" w:rsidRDefault="003227CE" w:rsidP="001A2711">
      <w:pPr>
        <w:jc w:val="both"/>
        <w:rPr>
          <w:rFonts w:cs="Arial"/>
          <w:color w:val="auto"/>
          <w:szCs w:val="22"/>
          <w:lang w:val="en-US"/>
        </w:rPr>
      </w:pPr>
    </w:p>
    <w:p w14:paraId="54C4068A" w14:textId="5846086F" w:rsidR="001A2711" w:rsidRDefault="009B0342" w:rsidP="001A2711">
      <w:pPr>
        <w:jc w:val="both"/>
        <w:rPr>
          <w:rFonts w:cs="Arial"/>
          <w:szCs w:val="22"/>
          <w:lang w:val="en-US"/>
        </w:rPr>
      </w:pPr>
      <w:r>
        <w:rPr>
          <w:rFonts w:cs="Arial"/>
          <w:color w:val="auto"/>
          <w:szCs w:val="22"/>
          <w:lang w:val="en-US"/>
        </w:rPr>
        <w:t>D</w:t>
      </w:r>
      <w:r w:rsidR="00A31624">
        <w:rPr>
          <w:rFonts w:cs="Arial"/>
          <w:color w:val="auto"/>
          <w:szCs w:val="22"/>
          <w:lang w:val="en-US"/>
        </w:rPr>
        <w:t xml:space="preserve">uring the </w:t>
      </w:r>
      <w:r w:rsidR="0006007B">
        <w:rPr>
          <w:rFonts w:cs="Arial"/>
          <w:color w:val="auto"/>
          <w:szCs w:val="22"/>
          <w:lang w:val="en-US"/>
        </w:rPr>
        <w:t>March</w:t>
      </w:r>
      <w:r w:rsidR="00A31624">
        <w:rPr>
          <w:rFonts w:cs="Arial"/>
          <w:color w:val="auto"/>
          <w:szCs w:val="22"/>
          <w:lang w:val="en-US"/>
        </w:rPr>
        <w:t xml:space="preserve"> 202</w:t>
      </w:r>
      <w:r w:rsidR="0006007B">
        <w:rPr>
          <w:rFonts w:cs="Arial"/>
          <w:color w:val="auto"/>
          <w:szCs w:val="22"/>
          <w:lang w:val="en-US"/>
        </w:rPr>
        <w:t>4</w:t>
      </w:r>
      <w:r w:rsidR="00A31624">
        <w:rPr>
          <w:rFonts w:cs="Arial"/>
          <w:color w:val="auto"/>
          <w:szCs w:val="22"/>
          <w:lang w:val="en-US"/>
        </w:rPr>
        <w:t xml:space="preserve"> quarter</w:t>
      </w:r>
      <w:r>
        <w:rPr>
          <w:rFonts w:cs="Arial"/>
          <w:color w:val="auto"/>
          <w:szCs w:val="22"/>
          <w:lang w:val="en-US"/>
        </w:rPr>
        <w:t xml:space="preserve">, the Fund </w:t>
      </w:r>
      <w:bookmarkStart w:id="2" w:name="_Hlk164858221"/>
      <w:r>
        <w:rPr>
          <w:rFonts w:cs="Arial"/>
          <w:color w:val="auto"/>
          <w:szCs w:val="22"/>
          <w:lang w:val="en-US"/>
        </w:rPr>
        <w:t>established</w:t>
      </w:r>
      <w:bookmarkEnd w:id="2"/>
      <w:r>
        <w:rPr>
          <w:rFonts w:cs="Arial"/>
          <w:color w:val="auto"/>
          <w:szCs w:val="22"/>
          <w:lang w:val="en-US"/>
        </w:rPr>
        <w:t xml:space="preserve"> a new holding in </w:t>
      </w:r>
      <w:r w:rsidR="000A5465">
        <w:rPr>
          <w:rFonts w:cs="Arial"/>
          <w:color w:val="auto"/>
          <w:szCs w:val="22"/>
          <w:lang w:val="en-US"/>
        </w:rPr>
        <w:t>IDP Education Limited</w:t>
      </w:r>
      <w:r w:rsidR="00FB7E5E">
        <w:rPr>
          <w:rFonts w:cs="Arial"/>
          <w:color w:val="auto"/>
          <w:szCs w:val="22"/>
          <w:lang w:val="en-US"/>
        </w:rPr>
        <w:t xml:space="preserve"> </w:t>
      </w:r>
      <w:r>
        <w:rPr>
          <w:rFonts w:cs="Arial"/>
          <w:color w:val="auto"/>
          <w:szCs w:val="22"/>
          <w:lang w:val="en-US"/>
        </w:rPr>
        <w:t>which is a</w:t>
      </w:r>
      <w:r w:rsidR="009B3716">
        <w:rPr>
          <w:rFonts w:cs="Arial"/>
          <w:color w:val="auto"/>
          <w:szCs w:val="22"/>
          <w:lang w:val="en-US"/>
        </w:rPr>
        <w:t>n education</w:t>
      </w:r>
      <w:r w:rsidR="00235FF8">
        <w:rPr>
          <w:rFonts w:cs="Arial"/>
          <w:color w:val="auto"/>
          <w:szCs w:val="22"/>
          <w:lang w:val="en-US"/>
        </w:rPr>
        <w:t xml:space="preserve"> services provide</w:t>
      </w:r>
      <w:r w:rsidR="00902161">
        <w:rPr>
          <w:rFonts w:cs="Arial"/>
          <w:color w:val="auto"/>
          <w:szCs w:val="22"/>
          <w:lang w:val="en-US"/>
        </w:rPr>
        <w:t xml:space="preserve">r. </w:t>
      </w:r>
      <w:r w:rsidR="00FB7E5E">
        <w:rPr>
          <w:rFonts w:cs="Arial"/>
          <w:color w:val="auto"/>
          <w:szCs w:val="22"/>
          <w:lang w:val="en-US"/>
        </w:rPr>
        <w:t xml:space="preserve">The purchase of this holding was mainly </w:t>
      </w:r>
      <w:r w:rsidR="00810928">
        <w:rPr>
          <w:rFonts w:cs="Arial"/>
          <w:color w:val="auto"/>
          <w:szCs w:val="22"/>
          <w:lang w:val="en-US"/>
        </w:rPr>
        <w:t xml:space="preserve">funded by selling the total </w:t>
      </w:r>
      <w:proofErr w:type="gramStart"/>
      <w:r w:rsidR="00810928">
        <w:rPr>
          <w:rFonts w:cs="Arial"/>
          <w:color w:val="auto"/>
          <w:szCs w:val="22"/>
          <w:lang w:val="en-US"/>
        </w:rPr>
        <w:t>amount</w:t>
      </w:r>
      <w:proofErr w:type="gramEnd"/>
      <w:r w:rsidR="00810928">
        <w:rPr>
          <w:rFonts w:cs="Arial"/>
          <w:color w:val="auto"/>
          <w:szCs w:val="22"/>
          <w:lang w:val="en-US"/>
        </w:rPr>
        <w:t xml:space="preserve"> of holdings in </w:t>
      </w:r>
      <w:r w:rsidR="00826062">
        <w:rPr>
          <w:rFonts w:cs="Arial"/>
          <w:color w:val="auto"/>
          <w:szCs w:val="22"/>
          <w:lang w:val="en-US"/>
        </w:rPr>
        <w:t>ASX</w:t>
      </w:r>
      <w:r w:rsidR="005247E5">
        <w:rPr>
          <w:rFonts w:cs="Arial"/>
          <w:color w:val="auto"/>
          <w:szCs w:val="22"/>
          <w:lang w:val="en-US"/>
        </w:rPr>
        <w:t xml:space="preserve"> Limited and partially selling </w:t>
      </w:r>
      <w:r w:rsidR="00D05974">
        <w:rPr>
          <w:rFonts w:cs="Arial"/>
          <w:color w:val="auto"/>
          <w:szCs w:val="22"/>
          <w:lang w:val="en-US"/>
        </w:rPr>
        <w:t>holdings in James Hardie and Goodman Group</w:t>
      </w:r>
      <w:r w:rsidR="00810928">
        <w:rPr>
          <w:rFonts w:cs="Arial"/>
          <w:color w:val="auto"/>
          <w:szCs w:val="22"/>
          <w:lang w:val="en-US"/>
        </w:rPr>
        <w:t>.</w:t>
      </w:r>
    </w:p>
    <w:sectPr w:rsidR="001A2711" w:rsidSect="00C7101D">
      <w:type w:val="continuous"/>
      <w:pgSz w:w="11900" w:h="16840"/>
      <w:pgMar w:top="2835" w:right="1418" w:bottom="1134" w:left="1134" w:header="1134" w:footer="851" w:gutter="0"/>
      <w:cols w:num="2"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68404" w14:textId="77777777" w:rsidR="00C7101D" w:rsidRDefault="00C7101D" w:rsidP="00C83030">
      <w:r>
        <w:separator/>
      </w:r>
    </w:p>
  </w:endnote>
  <w:endnote w:type="continuationSeparator" w:id="0">
    <w:p w14:paraId="7732E9E1" w14:textId="77777777" w:rsidR="00C7101D" w:rsidRDefault="00C7101D" w:rsidP="00C8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49347" w14:textId="77777777" w:rsidR="00FB7E5E" w:rsidRPr="0094257B" w:rsidRDefault="00FB7E5E" w:rsidP="003A0621">
    <w:pPr>
      <w:pStyle w:val="Footer"/>
      <w:tabs>
        <w:tab w:val="clear" w:pos="4320"/>
        <w:tab w:val="clear" w:pos="8640"/>
        <w:tab w:val="right" w:pos="9072"/>
        <w:tab w:val="right" w:pos="9639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1" layoutInCell="1" allowOverlap="0" wp14:anchorId="77E1FEAD" wp14:editId="2499D488">
              <wp:simplePos x="0" y="0"/>
              <wp:positionH relativeFrom="page">
                <wp:posOffset>349250</wp:posOffset>
              </wp:positionH>
              <wp:positionV relativeFrom="page">
                <wp:posOffset>9901555</wp:posOffset>
              </wp:positionV>
              <wp:extent cx="6858000" cy="0"/>
              <wp:effectExtent l="6350" t="14605" r="12700" b="13970"/>
              <wp:wrapTight wrapText="bothSides">
                <wp:wrapPolygon edited="0">
                  <wp:start x="2" y="-2147483648"/>
                  <wp:lineTo x="722" y="-2147483648"/>
                  <wp:lineTo x="722" y="-2147483648"/>
                  <wp:lineTo x="2" y="-2147483648"/>
                  <wp:lineTo x="2" y="-2147483648"/>
                </wp:wrapPolygon>
              </wp:wrapTight>
              <wp:docPr id="2" name="Lin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81E3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0185F9" id="Line 2" o:spid="_x0000_s1026" alt="&quot;&quot;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5pt,779.65pt" to="567.5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" o:allowoverlap="f" strokecolor="#981e32" strokeweight="1pt">
              <v:shadow opacity="22938f" offset="0"/>
              <w10:wrap type="tight" anchorx="page" anchory="page"/>
              <w10:anchorlock/>
            </v:line>
          </w:pict>
        </mc:Fallback>
      </mc:AlternateContent>
    </w:r>
    <w:r>
      <w:t>Common Fund No. 3</w:t>
    </w:r>
    <w:r w:rsidRPr="0094257B">
      <w:tab/>
      <w:t xml:space="preserve">Supreme Court </w:t>
    </w:r>
    <w:r>
      <w:t xml:space="preserve">of </w:t>
    </w:r>
    <w:r w:rsidRPr="0094257B">
      <w:t>Victoria</w:t>
    </w:r>
    <w:r w:rsidRPr="0094257B">
      <w:tab/>
    </w:r>
    <w:r w:rsidRPr="0094257B">
      <w:rPr>
        <w:rStyle w:val="PageNumber"/>
      </w:rPr>
      <w:fldChar w:fldCharType="begin"/>
    </w:r>
    <w:r w:rsidRPr="0094257B">
      <w:rPr>
        <w:rStyle w:val="PageNumber"/>
      </w:rPr>
      <w:instrText xml:space="preserve"> PAGE </w:instrText>
    </w:r>
    <w:r w:rsidRPr="0094257B">
      <w:rPr>
        <w:rStyle w:val="PageNumber"/>
      </w:rPr>
      <w:fldChar w:fldCharType="separate"/>
    </w:r>
    <w:r w:rsidR="00874580">
      <w:rPr>
        <w:rStyle w:val="PageNumber"/>
        <w:noProof/>
      </w:rPr>
      <w:t>1</w:t>
    </w:r>
    <w:r w:rsidRPr="0094257B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03821" w14:textId="77777777" w:rsidR="00FB7E5E" w:rsidRDefault="00FB7E5E" w:rsidP="00C77769">
    <w:pPr>
      <w:pStyle w:val="Footer"/>
      <w:tabs>
        <w:tab w:val="clear" w:pos="4320"/>
        <w:tab w:val="clear" w:pos="8640"/>
        <w:tab w:val="right" w:pos="9639"/>
        <w:tab w:val="right" w:pos="10206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1" layoutInCell="1" allowOverlap="0" wp14:anchorId="37606D9D" wp14:editId="3C7B3BF3">
              <wp:simplePos x="0" y="0"/>
              <wp:positionH relativeFrom="page">
                <wp:align>center</wp:align>
              </wp:positionH>
              <wp:positionV relativeFrom="page">
                <wp:posOffset>10009505</wp:posOffset>
              </wp:positionV>
              <wp:extent cx="6858000" cy="0"/>
              <wp:effectExtent l="9525" t="8255" r="9525" b="10795"/>
              <wp:wrapTight wrapText="bothSides">
                <wp:wrapPolygon edited="0">
                  <wp:start x="0" y="-2147483648"/>
                  <wp:lineTo x="0" y="-2147483648"/>
                  <wp:lineTo x="722" y="-2147483648"/>
                  <wp:lineTo x="722" y="-2147483648"/>
                  <wp:lineTo x="0" y="-2147483648"/>
                </wp:wrapPolygon>
              </wp:wrapTight>
              <wp:docPr id="1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81E3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A6071F" id="Line 3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88.15pt" to="540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" o:allowoverlap="f" strokecolor="#981e32" strokeweight="1pt">
              <v:shadow opacity="22938f" offset="0"/>
              <w10:wrap type="tight" anchorx="page" anchory="page"/>
              <w10:anchorlock/>
            </v:line>
          </w:pict>
        </mc:Fallback>
      </mc:AlternateContent>
    </w:r>
    <w:r w:rsidRPr="00056DE6">
      <w:tab/>
      <w:t>Supreme Court Victoria</w:t>
    </w:r>
    <w:r>
      <w:tab/>
    </w:r>
    <w:r w:rsidRPr="00D65C7F">
      <w:rPr>
        <w:rStyle w:val="PageNumber"/>
      </w:rPr>
      <w:fldChar w:fldCharType="begin"/>
    </w:r>
    <w:r w:rsidRPr="00D65C7F">
      <w:rPr>
        <w:rStyle w:val="PageNumber"/>
      </w:rPr>
      <w:instrText xml:space="preserve"> PAGE </w:instrText>
    </w:r>
    <w:r w:rsidRPr="00D65C7F">
      <w:rPr>
        <w:rStyle w:val="PageNumber"/>
      </w:rPr>
      <w:fldChar w:fldCharType="separate"/>
    </w:r>
    <w:r>
      <w:rPr>
        <w:rStyle w:val="PageNumber"/>
        <w:noProof/>
      </w:rPr>
      <w:t>1</w:t>
    </w:r>
    <w:r w:rsidRPr="00D65C7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952AF" w14:textId="77777777" w:rsidR="00C7101D" w:rsidRDefault="00C7101D" w:rsidP="00C83030">
      <w:r>
        <w:separator/>
      </w:r>
    </w:p>
  </w:footnote>
  <w:footnote w:type="continuationSeparator" w:id="0">
    <w:p w14:paraId="3B0310F3" w14:textId="77777777" w:rsidR="00C7101D" w:rsidRDefault="00C7101D" w:rsidP="00C83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29FD1" w14:textId="77777777" w:rsidR="00FB7E5E" w:rsidRDefault="00FB7E5E">
    <w:r>
      <w:rPr>
        <w:noProof/>
        <w:lang w:eastAsia="en-AU"/>
      </w:rPr>
      <w:drawing>
        <wp:anchor distT="0" distB="0" distL="114300" distR="114300" simplePos="0" relativeHeight="251658752" behindDoc="1" locked="1" layoutInCell="1" allowOverlap="0" wp14:anchorId="4BCD7706" wp14:editId="35C368D7">
          <wp:simplePos x="0" y="0"/>
          <wp:positionH relativeFrom="page">
            <wp:align>center</wp:align>
          </wp:positionH>
          <wp:positionV relativeFrom="page">
            <wp:posOffset>183515</wp:posOffset>
          </wp:positionV>
          <wp:extent cx="6845300" cy="1435100"/>
          <wp:effectExtent l="0" t="0" r="0" b="0"/>
          <wp:wrapNone/>
          <wp:docPr id="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1435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50655" w14:textId="77777777" w:rsidR="00FB7E5E" w:rsidRPr="00710119" w:rsidRDefault="00FB7E5E" w:rsidP="00C77769">
    <w:pPr>
      <w:tabs>
        <w:tab w:val="right" w:pos="9639"/>
        <w:tab w:val="right" w:pos="10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F58F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D04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6A3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2EAA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3C8D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C211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6F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8AE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5E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749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8873381">
    <w:abstractNumId w:val="9"/>
  </w:num>
  <w:num w:numId="2" w16cid:durableId="2054773008">
    <w:abstractNumId w:val="7"/>
  </w:num>
  <w:num w:numId="3" w16cid:durableId="187110299">
    <w:abstractNumId w:val="6"/>
  </w:num>
  <w:num w:numId="4" w16cid:durableId="141389408">
    <w:abstractNumId w:val="5"/>
  </w:num>
  <w:num w:numId="5" w16cid:durableId="708729238">
    <w:abstractNumId w:val="4"/>
  </w:num>
  <w:num w:numId="6" w16cid:durableId="1862621028">
    <w:abstractNumId w:val="8"/>
  </w:num>
  <w:num w:numId="7" w16cid:durableId="549651338">
    <w:abstractNumId w:val="3"/>
  </w:num>
  <w:num w:numId="8" w16cid:durableId="1875729202">
    <w:abstractNumId w:val="2"/>
  </w:num>
  <w:num w:numId="9" w16cid:durableId="309603135">
    <w:abstractNumId w:val="1"/>
  </w:num>
  <w:num w:numId="10" w16cid:durableId="126283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cumentProtection w:formatting="1" w:enforcement="0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A9"/>
    <w:rsid w:val="0000041F"/>
    <w:rsid w:val="000058B7"/>
    <w:rsid w:val="00006425"/>
    <w:rsid w:val="000064F8"/>
    <w:rsid w:val="00014FA3"/>
    <w:rsid w:val="0001507D"/>
    <w:rsid w:val="00015584"/>
    <w:rsid w:val="000225C3"/>
    <w:rsid w:val="0002314F"/>
    <w:rsid w:val="00023972"/>
    <w:rsid w:val="00024051"/>
    <w:rsid w:val="0002523A"/>
    <w:rsid w:val="0002572C"/>
    <w:rsid w:val="00025A86"/>
    <w:rsid w:val="000370E7"/>
    <w:rsid w:val="00037D98"/>
    <w:rsid w:val="000425ED"/>
    <w:rsid w:val="000431DB"/>
    <w:rsid w:val="0005146A"/>
    <w:rsid w:val="000523E4"/>
    <w:rsid w:val="00053219"/>
    <w:rsid w:val="00053D62"/>
    <w:rsid w:val="00056DE6"/>
    <w:rsid w:val="0006007B"/>
    <w:rsid w:val="000609B2"/>
    <w:rsid w:val="00070791"/>
    <w:rsid w:val="000720FA"/>
    <w:rsid w:val="00073F2C"/>
    <w:rsid w:val="00081570"/>
    <w:rsid w:val="0008177A"/>
    <w:rsid w:val="00085118"/>
    <w:rsid w:val="00086404"/>
    <w:rsid w:val="000917AA"/>
    <w:rsid w:val="00091981"/>
    <w:rsid w:val="000921C9"/>
    <w:rsid w:val="000938C2"/>
    <w:rsid w:val="00094752"/>
    <w:rsid w:val="000A0081"/>
    <w:rsid w:val="000A5465"/>
    <w:rsid w:val="000A5889"/>
    <w:rsid w:val="000A638A"/>
    <w:rsid w:val="000B6888"/>
    <w:rsid w:val="000B6A43"/>
    <w:rsid w:val="000B6B3B"/>
    <w:rsid w:val="000C0617"/>
    <w:rsid w:val="000C0A18"/>
    <w:rsid w:val="000C112A"/>
    <w:rsid w:val="000C3666"/>
    <w:rsid w:val="000C4A96"/>
    <w:rsid w:val="000C7BE7"/>
    <w:rsid w:val="000C7E65"/>
    <w:rsid w:val="000D0D28"/>
    <w:rsid w:val="000D298F"/>
    <w:rsid w:val="000D3F53"/>
    <w:rsid w:val="000D40E2"/>
    <w:rsid w:val="000E4BB4"/>
    <w:rsid w:val="000E532C"/>
    <w:rsid w:val="000E5447"/>
    <w:rsid w:val="000F04D8"/>
    <w:rsid w:val="000F1381"/>
    <w:rsid w:val="000F13CB"/>
    <w:rsid w:val="000F67B2"/>
    <w:rsid w:val="000F728D"/>
    <w:rsid w:val="00101B33"/>
    <w:rsid w:val="00102B22"/>
    <w:rsid w:val="00102F6C"/>
    <w:rsid w:val="00115C31"/>
    <w:rsid w:val="001217DE"/>
    <w:rsid w:val="00123B05"/>
    <w:rsid w:val="00125450"/>
    <w:rsid w:val="00127FFA"/>
    <w:rsid w:val="00131001"/>
    <w:rsid w:val="00131CA9"/>
    <w:rsid w:val="001322AB"/>
    <w:rsid w:val="00132AEF"/>
    <w:rsid w:val="00134EE7"/>
    <w:rsid w:val="0013666D"/>
    <w:rsid w:val="001421B0"/>
    <w:rsid w:val="001432BB"/>
    <w:rsid w:val="00145C7E"/>
    <w:rsid w:val="001466D9"/>
    <w:rsid w:val="00146A67"/>
    <w:rsid w:val="00150010"/>
    <w:rsid w:val="00155396"/>
    <w:rsid w:val="00156979"/>
    <w:rsid w:val="00163B36"/>
    <w:rsid w:val="00164D97"/>
    <w:rsid w:val="00167F11"/>
    <w:rsid w:val="00173D41"/>
    <w:rsid w:val="001750F2"/>
    <w:rsid w:val="0017605A"/>
    <w:rsid w:val="00180D6B"/>
    <w:rsid w:val="0018168B"/>
    <w:rsid w:val="00183AFC"/>
    <w:rsid w:val="001843EB"/>
    <w:rsid w:val="0018758A"/>
    <w:rsid w:val="00187C18"/>
    <w:rsid w:val="0019540D"/>
    <w:rsid w:val="00195A23"/>
    <w:rsid w:val="001A2711"/>
    <w:rsid w:val="001A5212"/>
    <w:rsid w:val="001B17A5"/>
    <w:rsid w:val="001B4A70"/>
    <w:rsid w:val="001B5B99"/>
    <w:rsid w:val="001C15A2"/>
    <w:rsid w:val="001C198E"/>
    <w:rsid w:val="001C2034"/>
    <w:rsid w:val="001D05BA"/>
    <w:rsid w:val="001D23E8"/>
    <w:rsid w:val="001D64A1"/>
    <w:rsid w:val="001D7A5A"/>
    <w:rsid w:val="001F116D"/>
    <w:rsid w:val="001F125B"/>
    <w:rsid w:val="001F1478"/>
    <w:rsid w:val="001F3D2B"/>
    <w:rsid w:val="00200548"/>
    <w:rsid w:val="0020152A"/>
    <w:rsid w:val="00202A95"/>
    <w:rsid w:val="00202E73"/>
    <w:rsid w:val="00202F62"/>
    <w:rsid w:val="0020313C"/>
    <w:rsid w:val="002040E0"/>
    <w:rsid w:val="00207C6E"/>
    <w:rsid w:val="00210B31"/>
    <w:rsid w:val="002110BF"/>
    <w:rsid w:val="002151FD"/>
    <w:rsid w:val="00215BF0"/>
    <w:rsid w:val="002162EB"/>
    <w:rsid w:val="00223B21"/>
    <w:rsid w:val="002278EF"/>
    <w:rsid w:val="0023055A"/>
    <w:rsid w:val="00231741"/>
    <w:rsid w:val="00233680"/>
    <w:rsid w:val="002341A1"/>
    <w:rsid w:val="00235C29"/>
    <w:rsid w:val="00235FF8"/>
    <w:rsid w:val="002409F8"/>
    <w:rsid w:val="002429D8"/>
    <w:rsid w:val="00243FDD"/>
    <w:rsid w:val="00245331"/>
    <w:rsid w:val="00245D2E"/>
    <w:rsid w:val="0025032D"/>
    <w:rsid w:val="00251625"/>
    <w:rsid w:val="002521A8"/>
    <w:rsid w:val="00256C6B"/>
    <w:rsid w:val="00262DBC"/>
    <w:rsid w:val="002650B8"/>
    <w:rsid w:val="00265B77"/>
    <w:rsid w:val="0026708B"/>
    <w:rsid w:val="00272ADC"/>
    <w:rsid w:val="00276DE0"/>
    <w:rsid w:val="0028071B"/>
    <w:rsid w:val="00284BF7"/>
    <w:rsid w:val="00291066"/>
    <w:rsid w:val="00292AB5"/>
    <w:rsid w:val="002946ED"/>
    <w:rsid w:val="002A51A5"/>
    <w:rsid w:val="002A6B5D"/>
    <w:rsid w:val="002A6CA8"/>
    <w:rsid w:val="002B4E95"/>
    <w:rsid w:val="002B6578"/>
    <w:rsid w:val="002B67D0"/>
    <w:rsid w:val="002C073F"/>
    <w:rsid w:val="002C0DC6"/>
    <w:rsid w:val="002C17BB"/>
    <w:rsid w:val="002C4D91"/>
    <w:rsid w:val="002C7428"/>
    <w:rsid w:val="002D397B"/>
    <w:rsid w:val="002D5AA0"/>
    <w:rsid w:val="002E084A"/>
    <w:rsid w:val="002E4A20"/>
    <w:rsid w:val="002E74CA"/>
    <w:rsid w:val="002F2FAC"/>
    <w:rsid w:val="002F60CE"/>
    <w:rsid w:val="00305361"/>
    <w:rsid w:val="003059FC"/>
    <w:rsid w:val="003166F4"/>
    <w:rsid w:val="003167B2"/>
    <w:rsid w:val="003227CE"/>
    <w:rsid w:val="003277C6"/>
    <w:rsid w:val="00327FB6"/>
    <w:rsid w:val="00330A88"/>
    <w:rsid w:val="0033148B"/>
    <w:rsid w:val="0033316C"/>
    <w:rsid w:val="00334BF4"/>
    <w:rsid w:val="00336A65"/>
    <w:rsid w:val="00346D5A"/>
    <w:rsid w:val="003474C9"/>
    <w:rsid w:val="00351D1E"/>
    <w:rsid w:val="0035432C"/>
    <w:rsid w:val="003626A8"/>
    <w:rsid w:val="00364ECD"/>
    <w:rsid w:val="00370501"/>
    <w:rsid w:val="00370969"/>
    <w:rsid w:val="003730E2"/>
    <w:rsid w:val="00373E53"/>
    <w:rsid w:val="0037781E"/>
    <w:rsid w:val="003814D7"/>
    <w:rsid w:val="00385E12"/>
    <w:rsid w:val="00397EE6"/>
    <w:rsid w:val="003A0621"/>
    <w:rsid w:val="003C4F2F"/>
    <w:rsid w:val="003C72AE"/>
    <w:rsid w:val="003C7DCE"/>
    <w:rsid w:val="003D1F7D"/>
    <w:rsid w:val="003D6749"/>
    <w:rsid w:val="003D6B73"/>
    <w:rsid w:val="003F0103"/>
    <w:rsid w:val="003F1D66"/>
    <w:rsid w:val="003F1E83"/>
    <w:rsid w:val="003F5464"/>
    <w:rsid w:val="003F5F65"/>
    <w:rsid w:val="00403A98"/>
    <w:rsid w:val="00410D12"/>
    <w:rsid w:val="00411AD5"/>
    <w:rsid w:val="00412440"/>
    <w:rsid w:val="00417CB1"/>
    <w:rsid w:val="00417EFA"/>
    <w:rsid w:val="00440837"/>
    <w:rsid w:val="00443A86"/>
    <w:rsid w:val="00444E28"/>
    <w:rsid w:val="00463BCB"/>
    <w:rsid w:val="00473437"/>
    <w:rsid w:val="00475653"/>
    <w:rsid w:val="0048014B"/>
    <w:rsid w:val="00480A5D"/>
    <w:rsid w:val="004842C0"/>
    <w:rsid w:val="00485965"/>
    <w:rsid w:val="004909C3"/>
    <w:rsid w:val="00491E5C"/>
    <w:rsid w:val="00494857"/>
    <w:rsid w:val="004A1DCF"/>
    <w:rsid w:val="004A7771"/>
    <w:rsid w:val="004B61D0"/>
    <w:rsid w:val="004C4081"/>
    <w:rsid w:val="004C7BD8"/>
    <w:rsid w:val="004D0F3E"/>
    <w:rsid w:val="004D1449"/>
    <w:rsid w:val="004D1D54"/>
    <w:rsid w:val="004D2059"/>
    <w:rsid w:val="004D3FE0"/>
    <w:rsid w:val="004D6924"/>
    <w:rsid w:val="004E08B5"/>
    <w:rsid w:val="004E455D"/>
    <w:rsid w:val="004E6679"/>
    <w:rsid w:val="004E7537"/>
    <w:rsid w:val="004E7C42"/>
    <w:rsid w:val="004F0E73"/>
    <w:rsid w:val="004F10C8"/>
    <w:rsid w:val="004F3D7A"/>
    <w:rsid w:val="004F6E74"/>
    <w:rsid w:val="005008ED"/>
    <w:rsid w:val="00500A07"/>
    <w:rsid w:val="00502669"/>
    <w:rsid w:val="00504A90"/>
    <w:rsid w:val="005076D5"/>
    <w:rsid w:val="005076DF"/>
    <w:rsid w:val="0051258F"/>
    <w:rsid w:val="0051530E"/>
    <w:rsid w:val="0051562A"/>
    <w:rsid w:val="005167AE"/>
    <w:rsid w:val="005228DA"/>
    <w:rsid w:val="005247E5"/>
    <w:rsid w:val="00526242"/>
    <w:rsid w:val="00531780"/>
    <w:rsid w:val="00531E44"/>
    <w:rsid w:val="00537121"/>
    <w:rsid w:val="005422B7"/>
    <w:rsid w:val="00545957"/>
    <w:rsid w:val="00550F85"/>
    <w:rsid w:val="005532EB"/>
    <w:rsid w:val="00554BE7"/>
    <w:rsid w:val="00554EA1"/>
    <w:rsid w:val="00560387"/>
    <w:rsid w:val="00560D27"/>
    <w:rsid w:val="00560ED9"/>
    <w:rsid w:val="00563978"/>
    <w:rsid w:val="0056788E"/>
    <w:rsid w:val="005741FE"/>
    <w:rsid w:val="00576A6B"/>
    <w:rsid w:val="00580692"/>
    <w:rsid w:val="0058657A"/>
    <w:rsid w:val="00590606"/>
    <w:rsid w:val="00594355"/>
    <w:rsid w:val="00594581"/>
    <w:rsid w:val="00595661"/>
    <w:rsid w:val="0059795C"/>
    <w:rsid w:val="005A02CE"/>
    <w:rsid w:val="005A3832"/>
    <w:rsid w:val="005A3928"/>
    <w:rsid w:val="005A4E5A"/>
    <w:rsid w:val="005A51A6"/>
    <w:rsid w:val="005A53AB"/>
    <w:rsid w:val="005A5765"/>
    <w:rsid w:val="005B1470"/>
    <w:rsid w:val="005B2394"/>
    <w:rsid w:val="005B3541"/>
    <w:rsid w:val="005C06B8"/>
    <w:rsid w:val="005C0A4F"/>
    <w:rsid w:val="005D172B"/>
    <w:rsid w:val="005D1A84"/>
    <w:rsid w:val="005D1CC2"/>
    <w:rsid w:val="005D3137"/>
    <w:rsid w:val="005D425D"/>
    <w:rsid w:val="005D54A9"/>
    <w:rsid w:val="005D60B3"/>
    <w:rsid w:val="005D6572"/>
    <w:rsid w:val="005E1595"/>
    <w:rsid w:val="005E5402"/>
    <w:rsid w:val="005E72A2"/>
    <w:rsid w:val="005E768F"/>
    <w:rsid w:val="005F1415"/>
    <w:rsid w:val="00600A97"/>
    <w:rsid w:val="006020AB"/>
    <w:rsid w:val="00605742"/>
    <w:rsid w:val="00607ACA"/>
    <w:rsid w:val="006102D8"/>
    <w:rsid w:val="006119E8"/>
    <w:rsid w:val="0061224D"/>
    <w:rsid w:val="00612CFE"/>
    <w:rsid w:val="00613030"/>
    <w:rsid w:val="0062407C"/>
    <w:rsid w:val="00625848"/>
    <w:rsid w:val="0062590E"/>
    <w:rsid w:val="006266EE"/>
    <w:rsid w:val="00630F67"/>
    <w:rsid w:val="006322F5"/>
    <w:rsid w:val="00632A5B"/>
    <w:rsid w:val="0063563D"/>
    <w:rsid w:val="00636C3A"/>
    <w:rsid w:val="00637B44"/>
    <w:rsid w:val="00637B54"/>
    <w:rsid w:val="006404D4"/>
    <w:rsid w:val="0064170A"/>
    <w:rsid w:val="0064484E"/>
    <w:rsid w:val="00644BC7"/>
    <w:rsid w:val="006457B7"/>
    <w:rsid w:val="00651E3C"/>
    <w:rsid w:val="00652659"/>
    <w:rsid w:val="00655EA3"/>
    <w:rsid w:val="00672ACB"/>
    <w:rsid w:val="00672B9A"/>
    <w:rsid w:val="006750EE"/>
    <w:rsid w:val="00675821"/>
    <w:rsid w:val="006769F6"/>
    <w:rsid w:val="00676B98"/>
    <w:rsid w:val="00681436"/>
    <w:rsid w:val="00681862"/>
    <w:rsid w:val="006824A3"/>
    <w:rsid w:val="00684BED"/>
    <w:rsid w:val="00691F75"/>
    <w:rsid w:val="0069302A"/>
    <w:rsid w:val="00693112"/>
    <w:rsid w:val="00693D9B"/>
    <w:rsid w:val="00694BD4"/>
    <w:rsid w:val="006A1B5B"/>
    <w:rsid w:val="006A1C76"/>
    <w:rsid w:val="006A2168"/>
    <w:rsid w:val="006B08C7"/>
    <w:rsid w:val="006B53F1"/>
    <w:rsid w:val="006B5D22"/>
    <w:rsid w:val="006B7AFF"/>
    <w:rsid w:val="006C2697"/>
    <w:rsid w:val="006C4B04"/>
    <w:rsid w:val="006D50B5"/>
    <w:rsid w:val="006D6910"/>
    <w:rsid w:val="006D7290"/>
    <w:rsid w:val="006E5E5E"/>
    <w:rsid w:val="006E7F3C"/>
    <w:rsid w:val="006F43D3"/>
    <w:rsid w:val="00701258"/>
    <w:rsid w:val="00703088"/>
    <w:rsid w:val="00704B8B"/>
    <w:rsid w:val="00705A3A"/>
    <w:rsid w:val="007077F0"/>
    <w:rsid w:val="00707CAA"/>
    <w:rsid w:val="00710119"/>
    <w:rsid w:val="00712AE6"/>
    <w:rsid w:val="00713BD2"/>
    <w:rsid w:val="007208C8"/>
    <w:rsid w:val="00724AC1"/>
    <w:rsid w:val="00725DD6"/>
    <w:rsid w:val="00726290"/>
    <w:rsid w:val="00731A23"/>
    <w:rsid w:val="00731FF7"/>
    <w:rsid w:val="00734430"/>
    <w:rsid w:val="0074003D"/>
    <w:rsid w:val="0074378A"/>
    <w:rsid w:val="00745753"/>
    <w:rsid w:val="00746B3F"/>
    <w:rsid w:val="0075325E"/>
    <w:rsid w:val="007557DE"/>
    <w:rsid w:val="0075754A"/>
    <w:rsid w:val="00760BE7"/>
    <w:rsid w:val="00775F22"/>
    <w:rsid w:val="007770C6"/>
    <w:rsid w:val="00780805"/>
    <w:rsid w:val="00780D86"/>
    <w:rsid w:val="0078139C"/>
    <w:rsid w:val="00781897"/>
    <w:rsid w:val="0078259B"/>
    <w:rsid w:val="007842D0"/>
    <w:rsid w:val="00784394"/>
    <w:rsid w:val="00791EAD"/>
    <w:rsid w:val="007932EF"/>
    <w:rsid w:val="00793C03"/>
    <w:rsid w:val="00794F30"/>
    <w:rsid w:val="007A06C1"/>
    <w:rsid w:val="007A0ECE"/>
    <w:rsid w:val="007A5883"/>
    <w:rsid w:val="007A6776"/>
    <w:rsid w:val="007A6E41"/>
    <w:rsid w:val="007A7B0B"/>
    <w:rsid w:val="007B317C"/>
    <w:rsid w:val="007B4421"/>
    <w:rsid w:val="007B4E8A"/>
    <w:rsid w:val="007B501C"/>
    <w:rsid w:val="007B5949"/>
    <w:rsid w:val="007C192D"/>
    <w:rsid w:val="007C6BCF"/>
    <w:rsid w:val="007D4295"/>
    <w:rsid w:val="007D480F"/>
    <w:rsid w:val="007E5097"/>
    <w:rsid w:val="007E58F3"/>
    <w:rsid w:val="007E6835"/>
    <w:rsid w:val="007F06F0"/>
    <w:rsid w:val="007F0BDC"/>
    <w:rsid w:val="007F3D80"/>
    <w:rsid w:val="007F4EAB"/>
    <w:rsid w:val="007F7DD1"/>
    <w:rsid w:val="0080136C"/>
    <w:rsid w:val="00801A7C"/>
    <w:rsid w:val="008024DC"/>
    <w:rsid w:val="00810325"/>
    <w:rsid w:val="00810928"/>
    <w:rsid w:val="00814E72"/>
    <w:rsid w:val="00816561"/>
    <w:rsid w:val="00821121"/>
    <w:rsid w:val="00824116"/>
    <w:rsid w:val="0082589A"/>
    <w:rsid w:val="00826062"/>
    <w:rsid w:val="00830349"/>
    <w:rsid w:val="00830CD5"/>
    <w:rsid w:val="00831249"/>
    <w:rsid w:val="00831C49"/>
    <w:rsid w:val="00832CE9"/>
    <w:rsid w:val="00833042"/>
    <w:rsid w:val="008347B3"/>
    <w:rsid w:val="00837B38"/>
    <w:rsid w:val="00840629"/>
    <w:rsid w:val="0084074B"/>
    <w:rsid w:val="00842A9E"/>
    <w:rsid w:val="00842C0B"/>
    <w:rsid w:val="00844155"/>
    <w:rsid w:val="00844AFC"/>
    <w:rsid w:val="00845554"/>
    <w:rsid w:val="00846E91"/>
    <w:rsid w:val="00851EE3"/>
    <w:rsid w:val="00853119"/>
    <w:rsid w:val="00853374"/>
    <w:rsid w:val="00855061"/>
    <w:rsid w:val="008555D2"/>
    <w:rsid w:val="00861AAF"/>
    <w:rsid w:val="008733CE"/>
    <w:rsid w:val="00874580"/>
    <w:rsid w:val="00876705"/>
    <w:rsid w:val="00877BC8"/>
    <w:rsid w:val="008835D2"/>
    <w:rsid w:val="0088430B"/>
    <w:rsid w:val="008857D9"/>
    <w:rsid w:val="00890F8E"/>
    <w:rsid w:val="00891D39"/>
    <w:rsid w:val="00895D53"/>
    <w:rsid w:val="00897BAD"/>
    <w:rsid w:val="008A3692"/>
    <w:rsid w:val="008A74D5"/>
    <w:rsid w:val="008B1D15"/>
    <w:rsid w:val="008B323F"/>
    <w:rsid w:val="008B52E7"/>
    <w:rsid w:val="008C24D4"/>
    <w:rsid w:val="008C4427"/>
    <w:rsid w:val="008D62B8"/>
    <w:rsid w:val="008D68E8"/>
    <w:rsid w:val="008E7E6C"/>
    <w:rsid w:val="008F0D26"/>
    <w:rsid w:val="008F5F35"/>
    <w:rsid w:val="009010E6"/>
    <w:rsid w:val="00902161"/>
    <w:rsid w:val="0090330B"/>
    <w:rsid w:val="00906250"/>
    <w:rsid w:val="009128DB"/>
    <w:rsid w:val="009168B5"/>
    <w:rsid w:val="009178FB"/>
    <w:rsid w:val="00920246"/>
    <w:rsid w:val="00922334"/>
    <w:rsid w:val="00924238"/>
    <w:rsid w:val="00924F4A"/>
    <w:rsid w:val="009275B5"/>
    <w:rsid w:val="00936432"/>
    <w:rsid w:val="009378EB"/>
    <w:rsid w:val="00940B21"/>
    <w:rsid w:val="00941A86"/>
    <w:rsid w:val="0094257B"/>
    <w:rsid w:val="00944904"/>
    <w:rsid w:val="00944D66"/>
    <w:rsid w:val="009458D4"/>
    <w:rsid w:val="00951865"/>
    <w:rsid w:val="00953B8A"/>
    <w:rsid w:val="00980936"/>
    <w:rsid w:val="00983EA6"/>
    <w:rsid w:val="00986BF9"/>
    <w:rsid w:val="00991171"/>
    <w:rsid w:val="00991BB9"/>
    <w:rsid w:val="00991D29"/>
    <w:rsid w:val="00993BC0"/>
    <w:rsid w:val="009956A9"/>
    <w:rsid w:val="009961D6"/>
    <w:rsid w:val="009965C0"/>
    <w:rsid w:val="00996E24"/>
    <w:rsid w:val="009A0F6B"/>
    <w:rsid w:val="009A2F60"/>
    <w:rsid w:val="009A4A87"/>
    <w:rsid w:val="009B0342"/>
    <w:rsid w:val="009B1659"/>
    <w:rsid w:val="009B1B70"/>
    <w:rsid w:val="009B3716"/>
    <w:rsid w:val="009B4C0E"/>
    <w:rsid w:val="009B586A"/>
    <w:rsid w:val="009B5F8A"/>
    <w:rsid w:val="009B78A8"/>
    <w:rsid w:val="009C216D"/>
    <w:rsid w:val="009C2193"/>
    <w:rsid w:val="009C372F"/>
    <w:rsid w:val="009D4A64"/>
    <w:rsid w:val="009D70CC"/>
    <w:rsid w:val="009E636D"/>
    <w:rsid w:val="009F0688"/>
    <w:rsid w:val="009F1395"/>
    <w:rsid w:val="009F27D7"/>
    <w:rsid w:val="009F3B42"/>
    <w:rsid w:val="009F3F93"/>
    <w:rsid w:val="00A0072F"/>
    <w:rsid w:val="00A02747"/>
    <w:rsid w:val="00A04BDA"/>
    <w:rsid w:val="00A115CE"/>
    <w:rsid w:val="00A13526"/>
    <w:rsid w:val="00A146BB"/>
    <w:rsid w:val="00A179B0"/>
    <w:rsid w:val="00A21217"/>
    <w:rsid w:val="00A31624"/>
    <w:rsid w:val="00A31F0C"/>
    <w:rsid w:val="00A3289C"/>
    <w:rsid w:val="00A331EB"/>
    <w:rsid w:val="00A337F0"/>
    <w:rsid w:val="00A36A83"/>
    <w:rsid w:val="00A41940"/>
    <w:rsid w:val="00A41943"/>
    <w:rsid w:val="00A41A97"/>
    <w:rsid w:val="00A44318"/>
    <w:rsid w:val="00A4435D"/>
    <w:rsid w:val="00A4663A"/>
    <w:rsid w:val="00A4727E"/>
    <w:rsid w:val="00A4741F"/>
    <w:rsid w:val="00A47D21"/>
    <w:rsid w:val="00A5401B"/>
    <w:rsid w:val="00A54E21"/>
    <w:rsid w:val="00A62FAA"/>
    <w:rsid w:val="00A63D49"/>
    <w:rsid w:val="00A6536D"/>
    <w:rsid w:val="00A70DB2"/>
    <w:rsid w:val="00A71846"/>
    <w:rsid w:val="00A73AE3"/>
    <w:rsid w:val="00A73F28"/>
    <w:rsid w:val="00A7568E"/>
    <w:rsid w:val="00A8027B"/>
    <w:rsid w:val="00A80A6D"/>
    <w:rsid w:val="00A80E8C"/>
    <w:rsid w:val="00A8102E"/>
    <w:rsid w:val="00A8505C"/>
    <w:rsid w:val="00A8637C"/>
    <w:rsid w:val="00A87B1D"/>
    <w:rsid w:val="00A90DE5"/>
    <w:rsid w:val="00A91205"/>
    <w:rsid w:val="00A927D5"/>
    <w:rsid w:val="00A92C73"/>
    <w:rsid w:val="00A94AF6"/>
    <w:rsid w:val="00A9529D"/>
    <w:rsid w:val="00AA3940"/>
    <w:rsid w:val="00AA7037"/>
    <w:rsid w:val="00AB0D73"/>
    <w:rsid w:val="00AC22EA"/>
    <w:rsid w:val="00AC257D"/>
    <w:rsid w:val="00AD3133"/>
    <w:rsid w:val="00AD704E"/>
    <w:rsid w:val="00AD7FF1"/>
    <w:rsid w:val="00AE43AE"/>
    <w:rsid w:val="00AE6F03"/>
    <w:rsid w:val="00AE7241"/>
    <w:rsid w:val="00AF4675"/>
    <w:rsid w:val="00AF4FCD"/>
    <w:rsid w:val="00B0044E"/>
    <w:rsid w:val="00B00B8B"/>
    <w:rsid w:val="00B06495"/>
    <w:rsid w:val="00B07200"/>
    <w:rsid w:val="00B10B66"/>
    <w:rsid w:val="00B136F9"/>
    <w:rsid w:val="00B15B79"/>
    <w:rsid w:val="00B15EBD"/>
    <w:rsid w:val="00B2168D"/>
    <w:rsid w:val="00B23964"/>
    <w:rsid w:val="00B240FE"/>
    <w:rsid w:val="00B24107"/>
    <w:rsid w:val="00B307BD"/>
    <w:rsid w:val="00B359CD"/>
    <w:rsid w:val="00B516D6"/>
    <w:rsid w:val="00B517C4"/>
    <w:rsid w:val="00B51ED2"/>
    <w:rsid w:val="00B52211"/>
    <w:rsid w:val="00B60352"/>
    <w:rsid w:val="00B60BC9"/>
    <w:rsid w:val="00B61795"/>
    <w:rsid w:val="00B61D6E"/>
    <w:rsid w:val="00B66579"/>
    <w:rsid w:val="00B6732A"/>
    <w:rsid w:val="00B67C4B"/>
    <w:rsid w:val="00B73BA5"/>
    <w:rsid w:val="00B77B25"/>
    <w:rsid w:val="00B90AE6"/>
    <w:rsid w:val="00B947AB"/>
    <w:rsid w:val="00BA60FB"/>
    <w:rsid w:val="00BA65B1"/>
    <w:rsid w:val="00BA6895"/>
    <w:rsid w:val="00BA7D77"/>
    <w:rsid w:val="00BB275D"/>
    <w:rsid w:val="00BB512C"/>
    <w:rsid w:val="00BB625A"/>
    <w:rsid w:val="00BC2FB2"/>
    <w:rsid w:val="00BC51C6"/>
    <w:rsid w:val="00BC5367"/>
    <w:rsid w:val="00BC5B92"/>
    <w:rsid w:val="00BD0871"/>
    <w:rsid w:val="00BD1218"/>
    <w:rsid w:val="00BD20F4"/>
    <w:rsid w:val="00BD2AF4"/>
    <w:rsid w:val="00BD4966"/>
    <w:rsid w:val="00BD6BD2"/>
    <w:rsid w:val="00BD77B3"/>
    <w:rsid w:val="00BE4102"/>
    <w:rsid w:val="00BE77DB"/>
    <w:rsid w:val="00BF1195"/>
    <w:rsid w:val="00BF39F1"/>
    <w:rsid w:val="00BF4B4D"/>
    <w:rsid w:val="00C0713A"/>
    <w:rsid w:val="00C111A8"/>
    <w:rsid w:val="00C13B2F"/>
    <w:rsid w:val="00C15748"/>
    <w:rsid w:val="00C1583E"/>
    <w:rsid w:val="00C160B3"/>
    <w:rsid w:val="00C1788B"/>
    <w:rsid w:val="00C201D3"/>
    <w:rsid w:val="00C21A8A"/>
    <w:rsid w:val="00C24F19"/>
    <w:rsid w:val="00C260E2"/>
    <w:rsid w:val="00C26133"/>
    <w:rsid w:val="00C2797A"/>
    <w:rsid w:val="00C27F31"/>
    <w:rsid w:val="00C327C0"/>
    <w:rsid w:val="00C338C5"/>
    <w:rsid w:val="00C33B5A"/>
    <w:rsid w:val="00C37867"/>
    <w:rsid w:val="00C41BA5"/>
    <w:rsid w:val="00C444EE"/>
    <w:rsid w:val="00C55B5B"/>
    <w:rsid w:val="00C56D11"/>
    <w:rsid w:val="00C57694"/>
    <w:rsid w:val="00C60902"/>
    <w:rsid w:val="00C66551"/>
    <w:rsid w:val="00C67336"/>
    <w:rsid w:val="00C7101D"/>
    <w:rsid w:val="00C72052"/>
    <w:rsid w:val="00C72EAC"/>
    <w:rsid w:val="00C73EBC"/>
    <w:rsid w:val="00C75BCE"/>
    <w:rsid w:val="00C75BD1"/>
    <w:rsid w:val="00C772F8"/>
    <w:rsid w:val="00C77769"/>
    <w:rsid w:val="00C81DBA"/>
    <w:rsid w:val="00C821E7"/>
    <w:rsid w:val="00C82515"/>
    <w:rsid w:val="00C83030"/>
    <w:rsid w:val="00C8516E"/>
    <w:rsid w:val="00C851DB"/>
    <w:rsid w:val="00C86A42"/>
    <w:rsid w:val="00C878D6"/>
    <w:rsid w:val="00C914E7"/>
    <w:rsid w:val="00C92583"/>
    <w:rsid w:val="00C95170"/>
    <w:rsid w:val="00CA11EC"/>
    <w:rsid w:val="00CA4529"/>
    <w:rsid w:val="00CA7F94"/>
    <w:rsid w:val="00CB09C8"/>
    <w:rsid w:val="00CB176E"/>
    <w:rsid w:val="00CB3DEA"/>
    <w:rsid w:val="00CB7985"/>
    <w:rsid w:val="00CC0867"/>
    <w:rsid w:val="00CC37F4"/>
    <w:rsid w:val="00CC6AC1"/>
    <w:rsid w:val="00CC73FF"/>
    <w:rsid w:val="00CC7CA8"/>
    <w:rsid w:val="00CD01E8"/>
    <w:rsid w:val="00CD4161"/>
    <w:rsid w:val="00CD41F5"/>
    <w:rsid w:val="00CD555B"/>
    <w:rsid w:val="00CD66B3"/>
    <w:rsid w:val="00CD6BA8"/>
    <w:rsid w:val="00CD70B2"/>
    <w:rsid w:val="00CD73A3"/>
    <w:rsid w:val="00CE1151"/>
    <w:rsid w:val="00CE14E8"/>
    <w:rsid w:val="00CE45DC"/>
    <w:rsid w:val="00CE5525"/>
    <w:rsid w:val="00CF059D"/>
    <w:rsid w:val="00CF3467"/>
    <w:rsid w:val="00CF3F58"/>
    <w:rsid w:val="00CF519D"/>
    <w:rsid w:val="00D032A7"/>
    <w:rsid w:val="00D05974"/>
    <w:rsid w:val="00D062B1"/>
    <w:rsid w:val="00D103F1"/>
    <w:rsid w:val="00D1166C"/>
    <w:rsid w:val="00D1603D"/>
    <w:rsid w:val="00D1650A"/>
    <w:rsid w:val="00D16EF2"/>
    <w:rsid w:val="00D17C30"/>
    <w:rsid w:val="00D20B3E"/>
    <w:rsid w:val="00D24D81"/>
    <w:rsid w:val="00D2623D"/>
    <w:rsid w:val="00D27B85"/>
    <w:rsid w:val="00D33C41"/>
    <w:rsid w:val="00D344D6"/>
    <w:rsid w:val="00D36CB2"/>
    <w:rsid w:val="00D40CD4"/>
    <w:rsid w:val="00D420D3"/>
    <w:rsid w:val="00D47370"/>
    <w:rsid w:val="00D57A61"/>
    <w:rsid w:val="00D57BE8"/>
    <w:rsid w:val="00D606C3"/>
    <w:rsid w:val="00D64EF5"/>
    <w:rsid w:val="00D65C7F"/>
    <w:rsid w:val="00D67C33"/>
    <w:rsid w:val="00D70493"/>
    <w:rsid w:val="00D71A59"/>
    <w:rsid w:val="00D71D06"/>
    <w:rsid w:val="00D761B0"/>
    <w:rsid w:val="00D77380"/>
    <w:rsid w:val="00D854C2"/>
    <w:rsid w:val="00D876C6"/>
    <w:rsid w:val="00D90547"/>
    <w:rsid w:val="00D91CED"/>
    <w:rsid w:val="00D9214B"/>
    <w:rsid w:val="00D95151"/>
    <w:rsid w:val="00DA0E17"/>
    <w:rsid w:val="00DA179B"/>
    <w:rsid w:val="00DA2350"/>
    <w:rsid w:val="00DA3464"/>
    <w:rsid w:val="00DA6266"/>
    <w:rsid w:val="00DA7F0D"/>
    <w:rsid w:val="00DB2BB4"/>
    <w:rsid w:val="00DB3C95"/>
    <w:rsid w:val="00DB7A73"/>
    <w:rsid w:val="00DC12CE"/>
    <w:rsid w:val="00DC222F"/>
    <w:rsid w:val="00DC257F"/>
    <w:rsid w:val="00DC3544"/>
    <w:rsid w:val="00DC6285"/>
    <w:rsid w:val="00DC7FDF"/>
    <w:rsid w:val="00DD27D2"/>
    <w:rsid w:val="00DD51FD"/>
    <w:rsid w:val="00DD6BE2"/>
    <w:rsid w:val="00DE6D3D"/>
    <w:rsid w:val="00DE6DEB"/>
    <w:rsid w:val="00DF088F"/>
    <w:rsid w:val="00DF0917"/>
    <w:rsid w:val="00DF0EDC"/>
    <w:rsid w:val="00DF35B0"/>
    <w:rsid w:val="00DF7CEA"/>
    <w:rsid w:val="00E007FE"/>
    <w:rsid w:val="00E021E5"/>
    <w:rsid w:val="00E02DF9"/>
    <w:rsid w:val="00E03EB6"/>
    <w:rsid w:val="00E05C28"/>
    <w:rsid w:val="00E0666D"/>
    <w:rsid w:val="00E0777F"/>
    <w:rsid w:val="00E07DC0"/>
    <w:rsid w:val="00E10D4F"/>
    <w:rsid w:val="00E149E2"/>
    <w:rsid w:val="00E169CD"/>
    <w:rsid w:val="00E21102"/>
    <w:rsid w:val="00E2251A"/>
    <w:rsid w:val="00E25926"/>
    <w:rsid w:val="00E27FF7"/>
    <w:rsid w:val="00E32832"/>
    <w:rsid w:val="00E41CB8"/>
    <w:rsid w:val="00E44E6D"/>
    <w:rsid w:val="00E45768"/>
    <w:rsid w:val="00E45D3E"/>
    <w:rsid w:val="00E46EAD"/>
    <w:rsid w:val="00E47FEC"/>
    <w:rsid w:val="00E52C5F"/>
    <w:rsid w:val="00E53DF9"/>
    <w:rsid w:val="00E56EF4"/>
    <w:rsid w:val="00E645A4"/>
    <w:rsid w:val="00E72E89"/>
    <w:rsid w:val="00E73C14"/>
    <w:rsid w:val="00E75EEE"/>
    <w:rsid w:val="00E768AE"/>
    <w:rsid w:val="00E770C9"/>
    <w:rsid w:val="00E812F0"/>
    <w:rsid w:val="00E84033"/>
    <w:rsid w:val="00E9150C"/>
    <w:rsid w:val="00E97052"/>
    <w:rsid w:val="00E97B9E"/>
    <w:rsid w:val="00EA1372"/>
    <w:rsid w:val="00EA2820"/>
    <w:rsid w:val="00EA5521"/>
    <w:rsid w:val="00EB4568"/>
    <w:rsid w:val="00EB5794"/>
    <w:rsid w:val="00EB6A91"/>
    <w:rsid w:val="00EC1097"/>
    <w:rsid w:val="00EC175A"/>
    <w:rsid w:val="00EC1BAF"/>
    <w:rsid w:val="00EC2378"/>
    <w:rsid w:val="00EC2C88"/>
    <w:rsid w:val="00EC353B"/>
    <w:rsid w:val="00EC45D7"/>
    <w:rsid w:val="00EC719A"/>
    <w:rsid w:val="00EC7D24"/>
    <w:rsid w:val="00ED14DC"/>
    <w:rsid w:val="00ED5558"/>
    <w:rsid w:val="00EE2B00"/>
    <w:rsid w:val="00EE2D45"/>
    <w:rsid w:val="00EE77AD"/>
    <w:rsid w:val="00EF031F"/>
    <w:rsid w:val="00EF43F8"/>
    <w:rsid w:val="00EF6CF4"/>
    <w:rsid w:val="00F011E0"/>
    <w:rsid w:val="00F041BC"/>
    <w:rsid w:val="00F0474C"/>
    <w:rsid w:val="00F1097F"/>
    <w:rsid w:val="00F11C8C"/>
    <w:rsid w:val="00F11F67"/>
    <w:rsid w:val="00F17FA3"/>
    <w:rsid w:val="00F216D1"/>
    <w:rsid w:val="00F227DA"/>
    <w:rsid w:val="00F2642D"/>
    <w:rsid w:val="00F27A0E"/>
    <w:rsid w:val="00F30A0C"/>
    <w:rsid w:val="00F35B6B"/>
    <w:rsid w:val="00F363C5"/>
    <w:rsid w:val="00F3758B"/>
    <w:rsid w:val="00F40C5A"/>
    <w:rsid w:val="00F42BF6"/>
    <w:rsid w:val="00F51E9A"/>
    <w:rsid w:val="00F5614F"/>
    <w:rsid w:val="00F56549"/>
    <w:rsid w:val="00F568BF"/>
    <w:rsid w:val="00F64440"/>
    <w:rsid w:val="00F703F7"/>
    <w:rsid w:val="00F7780D"/>
    <w:rsid w:val="00F8169A"/>
    <w:rsid w:val="00F81A82"/>
    <w:rsid w:val="00F82739"/>
    <w:rsid w:val="00F858E4"/>
    <w:rsid w:val="00F87E8B"/>
    <w:rsid w:val="00F918DA"/>
    <w:rsid w:val="00F923C0"/>
    <w:rsid w:val="00F924A9"/>
    <w:rsid w:val="00F927DC"/>
    <w:rsid w:val="00F962B2"/>
    <w:rsid w:val="00FA0CDF"/>
    <w:rsid w:val="00FA2138"/>
    <w:rsid w:val="00FA2757"/>
    <w:rsid w:val="00FA4146"/>
    <w:rsid w:val="00FA6640"/>
    <w:rsid w:val="00FA789A"/>
    <w:rsid w:val="00FB0240"/>
    <w:rsid w:val="00FB297D"/>
    <w:rsid w:val="00FB6011"/>
    <w:rsid w:val="00FB7E5E"/>
    <w:rsid w:val="00FC7388"/>
    <w:rsid w:val="00FD17FB"/>
    <w:rsid w:val="00FD6D96"/>
    <w:rsid w:val="00FE1A5F"/>
    <w:rsid w:val="00FE38AC"/>
    <w:rsid w:val="00FE5B26"/>
    <w:rsid w:val="00FF0CB7"/>
    <w:rsid w:val="00FF298E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06CD10"/>
  <w15:docId w15:val="{307E2E7F-C950-41C9-BDD5-A8FCD80F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0B3"/>
    <w:rPr>
      <w:rFonts w:ascii="Arial" w:hAnsi="Arial"/>
      <w:color w:val="404040"/>
      <w:sz w:val="22"/>
      <w:szCs w:val="24"/>
      <w:lang w:eastAsia="en-US"/>
    </w:rPr>
  </w:style>
  <w:style w:type="paragraph" w:styleId="Heading1">
    <w:name w:val="heading 1"/>
    <w:aliases w:val="Subhead"/>
    <w:basedOn w:val="Normal"/>
    <w:next w:val="Normal"/>
    <w:link w:val="Heading1Char"/>
    <w:qFormat/>
    <w:rsid w:val="00207C6E"/>
    <w:pPr>
      <w:keepNext/>
      <w:keepLines/>
      <w:spacing w:before="200" w:after="200"/>
      <w:outlineLvl w:val="0"/>
    </w:pPr>
    <w:rPr>
      <w:bCs/>
      <w:color w:val="981E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8259B"/>
    <w:pPr>
      <w:keepNext/>
      <w:keepLines/>
      <w:spacing w:before="200" w:after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8259B"/>
    <w:pPr>
      <w:keepNext/>
      <w:keepLines/>
      <w:spacing w:before="200" w:after="120"/>
      <w:outlineLvl w:val="2"/>
    </w:pPr>
    <w:rPr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78259B"/>
    <w:pPr>
      <w:keepNext/>
      <w:keepLines/>
      <w:spacing w:before="200"/>
      <w:outlineLvl w:val="3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Char"/>
    <w:link w:val="Heading1"/>
    <w:locked/>
    <w:rsid w:val="00207C6E"/>
    <w:rPr>
      <w:rFonts w:ascii="Arial" w:hAnsi="Arial" w:cs="Times New Roman"/>
      <w:bCs/>
      <w:color w:val="981E32"/>
      <w:sz w:val="32"/>
      <w:szCs w:val="32"/>
    </w:rPr>
  </w:style>
  <w:style w:type="character" w:customStyle="1" w:styleId="Heading2Char">
    <w:name w:val="Heading 2 Char"/>
    <w:link w:val="Heading2"/>
    <w:locked/>
    <w:rsid w:val="0078259B"/>
    <w:rPr>
      <w:rFonts w:ascii="Arial" w:hAnsi="Arial" w:cs="Times New Roman"/>
      <w:b/>
      <w:bCs/>
      <w:color w:val="404040"/>
      <w:sz w:val="26"/>
      <w:szCs w:val="26"/>
    </w:rPr>
  </w:style>
  <w:style w:type="character" w:customStyle="1" w:styleId="Heading3Char">
    <w:name w:val="Heading 3 Char"/>
    <w:link w:val="Heading3"/>
    <w:locked/>
    <w:rsid w:val="0078259B"/>
    <w:rPr>
      <w:rFonts w:ascii="Arial" w:hAnsi="Arial" w:cs="Times New Roman"/>
      <w:bCs/>
      <w:color w:val="404040"/>
      <w:sz w:val="28"/>
    </w:rPr>
  </w:style>
  <w:style w:type="character" w:customStyle="1" w:styleId="Heading4Char">
    <w:name w:val="Heading 4 Char"/>
    <w:link w:val="Heading4"/>
    <w:locked/>
    <w:rsid w:val="0078259B"/>
    <w:rPr>
      <w:rFonts w:ascii="Arial" w:hAnsi="Arial" w:cs="Times New Roman"/>
      <w:b/>
      <w:bCs/>
      <w:iCs/>
      <w:color w:val="404040"/>
      <w:sz w:val="22"/>
    </w:rPr>
  </w:style>
  <w:style w:type="paragraph" w:customStyle="1" w:styleId="BasicParagraph">
    <w:name w:val="[Basic Paragraph]"/>
    <w:basedOn w:val="Normal"/>
    <w:locked/>
    <w:rsid w:val="00C444EE"/>
    <w:pPr>
      <w:autoSpaceDE w:val="0"/>
      <w:autoSpaceDN w:val="0"/>
      <w:adjustRightInd w:val="0"/>
      <w:spacing w:after="120"/>
      <w:textAlignment w:val="center"/>
    </w:pPr>
    <w:rPr>
      <w:rFonts w:cs="Times-Roman"/>
      <w:lang w:val="en-US"/>
    </w:rPr>
  </w:style>
  <w:style w:type="paragraph" w:customStyle="1" w:styleId="TableHeading">
    <w:name w:val="Table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GraphHeading">
    <w:name w:val="Graph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Body">
    <w:name w:val="Body"/>
    <w:basedOn w:val="BasicParagraph"/>
    <w:rsid w:val="0078259B"/>
  </w:style>
  <w:style w:type="paragraph" w:customStyle="1" w:styleId="TableText">
    <w:name w:val="Table Text"/>
    <w:basedOn w:val="Body"/>
    <w:locked/>
    <w:rsid w:val="0078259B"/>
    <w:rPr>
      <w:rFonts w:cs="Times New Roman"/>
      <w:sz w:val="20"/>
    </w:rPr>
  </w:style>
  <w:style w:type="paragraph" w:customStyle="1" w:styleId="TableHeaderRow">
    <w:name w:val="Table Header Row"/>
    <w:basedOn w:val="BasicParagraph"/>
    <w:locked/>
    <w:rsid w:val="0078259B"/>
    <w:rPr>
      <w:sz w:val="20"/>
    </w:rPr>
  </w:style>
  <w:style w:type="paragraph" w:styleId="TOC1">
    <w:name w:val="toc 1"/>
    <w:basedOn w:val="Normal"/>
    <w:next w:val="Normal"/>
    <w:semiHidden/>
    <w:locked/>
    <w:rsid w:val="00F51E9A"/>
    <w:pPr>
      <w:tabs>
        <w:tab w:val="right" w:pos="8290"/>
      </w:tabs>
      <w:spacing w:before="120" w:after="80"/>
    </w:pPr>
    <w:rPr>
      <w:b/>
      <w:noProof/>
      <w:sz w:val="28"/>
      <w:szCs w:val="22"/>
    </w:rPr>
  </w:style>
  <w:style w:type="paragraph" w:styleId="TOC2">
    <w:name w:val="toc 2"/>
    <w:basedOn w:val="Normal"/>
    <w:next w:val="Normal"/>
    <w:semiHidden/>
    <w:locked/>
    <w:rsid w:val="00D65C7F"/>
    <w:pPr>
      <w:tabs>
        <w:tab w:val="right" w:pos="8290"/>
      </w:tabs>
      <w:spacing w:after="80"/>
      <w:ind w:left="170"/>
    </w:pPr>
    <w:rPr>
      <w:noProof/>
      <w:szCs w:val="22"/>
    </w:rPr>
  </w:style>
  <w:style w:type="paragraph" w:styleId="TOC3">
    <w:name w:val="toc 3"/>
    <w:basedOn w:val="Normal"/>
    <w:next w:val="Normal"/>
    <w:semiHidden/>
    <w:locked/>
    <w:rsid w:val="00D65C7F"/>
    <w:pPr>
      <w:tabs>
        <w:tab w:val="right" w:pos="8290"/>
      </w:tabs>
      <w:spacing w:after="80"/>
      <w:ind w:left="340"/>
    </w:pPr>
    <w:rPr>
      <w:szCs w:val="22"/>
    </w:rPr>
  </w:style>
  <w:style w:type="paragraph" w:styleId="TOC4">
    <w:name w:val="toc 4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5">
    <w:name w:val="toc 5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6">
    <w:name w:val="toc 6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7">
    <w:name w:val="toc 7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8">
    <w:name w:val="toc 8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9">
    <w:name w:val="toc 9"/>
    <w:basedOn w:val="Normal"/>
    <w:next w:val="Normal"/>
    <w:semiHidden/>
    <w:locked/>
    <w:rsid w:val="00C444EE"/>
    <w:rPr>
      <w:rFonts w:ascii="Cambria" w:hAnsi="Cambria"/>
      <w:szCs w:val="22"/>
    </w:rPr>
  </w:style>
  <w:style w:type="character" w:customStyle="1" w:styleId="BodyTextItalics">
    <w:name w:val="Body Text Italics"/>
    <w:locked/>
    <w:rsid w:val="0078259B"/>
    <w:rPr>
      <w:rFonts w:ascii="Arial Italic" w:hAnsi="Arial Italic"/>
      <w:color w:val="404040"/>
      <w:sz w:val="22"/>
    </w:rPr>
  </w:style>
  <w:style w:type="paragraph" w:styleId="Footer">
    <w:name w:val="footer"/>
    <w:basedOn w:val="Normal"/>
    <w:link w:val="FooterChar"/>
    <w:semiHidden/>
    <w:rsid w:val="0078259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78259B"/>
    <w:rPr>
      <w:rFonts w:ascii="Arial" w:hAnsi="Arial" w:cs="Times New Roman"/>
      <w:color w:val="404040"/>
      <w:sz w:val="20"/>
    </w:rPr>
  </w:style>
  <w:style w:type="paragraph" w:customStyle="1" w:styleId="FactsheetTitle">
    <w:name w:val="Factsheet Title"/>
    <w:basedOn w:val="Normal"/>
    <w:rsid w:val="0094257B"/>
    <w:pPr>
      <w:outlineLvl w:val="0"/>
    </w:pPr>
    <w:rPr>
      <w:noProof/>
      <w:color w:val="981E32"/>
      <w:sz w:val="44"/>
      <w:lang w:val="en-US"/>
    </w:rPr>
  </w:style>
  <w:style w:type="paragraph" w:customStyle="1" w:styleId="Titlesecondary">
    <w:name w:val="Title secondary"/>
    <w:basedOn w:val="Normal"/>
    <w:rsid w:val="0078259B"/>
    <w:pPr>
      <w:spacing w:after="800"/>
      <w:outlineLvl w:val="0"/>
    </w:pPr>
    <w:rPr>
      <w:noProof/>
      <w:sz w:val="28"/>
      <w:lang w:val="en-US"/>
    </w:rPr>
  </w:style>
  <w:style w:type="paragraph" w:customStyle="1" w:styleId="Reportdate">
    <w:name w:val="Report date"/>
    <w:basedOn w:val="Normal"/>
    <w:locked/>
    <w:rsid w:val="0078259B"/>
    <w:pPr>
      <w:spacing w:after="40"/>
      <w:ind w:left="567"/>
    </w:pPr>
  </w:style>
  <w:style w:type="character" w:styleId="PageNumber">
    <w:name w:val="page number"/>
    <w:locked/>
    <w:rsid w:val="0078259B"/>
    <w:rPr>
      <w:rFonts w:ascii="Arial" w:hAnsi="Arial" w:cs="Times New Roman"/>
      <w:color w:val="404040"/>
      <w:sz w:val="20"/>
    </w:rPr>
  </w:style>
  <w:style w:type="paragraph" w:styleId="Quote">
    <w:name w:val="Quote"/>
    <w:basedOn w:val="Heading3"/>
    <w:link w:val="QuoteChar"/>
    <w:qFormat/>
    <w:locked/>
    <w:rsid w:val="0094257B"/>
    <w:rPr>
      <w:color w:val="981E32"/>
    </w:rPr>
  </w:style>
  <w:style w:type="character" w:customStyle="1" w:styleId="QuoteChar">
    <w:name w:val="Quote Char"/>
    <w:link w:val="Quote"/>
    <w:locked/>
    <w:rsid w:val="0094257B"/>
    <w:rPr>
      <w:rFonts w:ascii="Arial" w:hAnsi="Arial" w:cs="Times New Roman"/>
      <w:bCs/>
      <w:color w:val="981E32"/>
      <w:sz w:val="28"/>
    </w:rPr>
  </w:style>
  <w:style w:type="paragraph" w:styleId="NoSpacing">
    <w:name w:val="No Spacing"/>
    <w:qFormat/>
    <w:locked/>
    <w:rsid w:val="0078259B"/>
    <w:rPr>
      <w:rFonts w:ascii="Arial" w:hAnsi="Arial"/>
      <w:color w:val="404040"/>
      <w:sz w:val="22"/>
      <w:szCs w:val="24"/>
      <w:lang w:eastAsia="en-US"/>
    </w:rPr>
  </w:style>
  <w:style w:type="paragraph" w:styleId="Header">
    <w:name w:val="header"/>
    <w:basedOn w:val="Normal"/>
    <w:link w:val="HeaderChar"/>
    <w:locked/>
    <w:rsid w:val="009425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94257B"/>
    <w:rPr>
      <w:rFonts w:ascii="Arial" w:hAnsi="Arial" w:cs="Times New Roman"/>
      <w:color w:val="404040"/>
      <w:sz w:val="22"/>
    </w:rPr>
  </w:style>
  <w:style w:type="table" w:styleId="TableClassic1">
    <w:name w:val="Table Classic 1"/>
    <w:basedOn w:val="TableNormal"/>
    <w:locked/>
    <w:rsid w:val="00173D4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ink w:val="BodyTextChar"/>
    <w:locked/>
    <w:rsid w:val="009956A9"/>
    <w:pPr>
      <w:spacing w:after="120"/>
    </w:pPr>
    <w:rPr>
      <w:rFonts w:ascii="Times New Roman" w:eastAsia="Times New Roman" w:hAnsi="Times New Roman"/>
      <w:color w:val="auto"/>
      <w:sz w:val="24"/>
    </w:rPr>
  </w:style>
  <w:style w:type="character" w:customStyle="1" w:styleId="BodyTextChar">
    <w:name w:val="Body Text Char"/>
    <w:link w:val="BodyText"/>
    <w:rsid w:val="009956A9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locked/>
    <w:rsid w:val="00215BF0"/>
    <w:rPr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625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590E"/>
    <w:rPr>
      <w:rFonts w:ascii="Tahoma" w:hAnsi="Tahoma" w:cs="Tahoma"/>
      <w:color w:val="404040"/>
      <w:sz w:val="16"/>
      <w:szCs w:val="16"/>
      <w:lang w:eastAsia="en-US"/>
    </w:rPr>
  </w:style>
  <w:style w:type="table" w:styleId="TableGrid">
    <w:name w:val="Table Grid"/>
    <w:basedOn w:val="TableNormal"/>
    <w:locked/>
    <w:rsid w:val="00081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locked/>
    <w:rsid w:val="00672B9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locked/>
    <w:rsid w:val="00672B9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locked/>
    <w:rsid w:val="00672B9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1">
    <w:name w:val="Light Shading Accent 1"/>
    <w:basedOn w:val="TableNormal"/>
    <w:uiPriority w:val="60"/>
    <w:rsid w:val="00672B9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672B9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62"/>
    <w:rsid w:val="00672B9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2-Accent1">
    <w:name w:val="Medium Shading 2 Accent 1"/>
    <w:basedOn w:val="TableNormal"/>
    <w:uiPriority w:val="64"/>
    <w:rsid w:val="00672B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72B9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72B9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B136F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B136F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B136F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Grid3">
    <w:name w:val="Medium Grid 3"/>
    <w:basedOn w:val="TableNormal"/>
    <w:uiPriority w:val="69"/>
    <w:rsid w:val="00B136F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olorfulList">
    <w:name w:val="Colorful List"/>
    <w:basedOn w:val="TableNormal"/>
    <w:uiPriority w:val="72"/>
    <w:rsid w:val="00B136F9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EC45D7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ui-provider">
    <w:name w:val="ui-provider"/>
    <w:basedOn w:val="DefaultParagraphFont"/>
    <w:rsid w:val="0040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undsincourt.vic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fundsincourt.vic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2679E-AB7D-4331-831E-1A88C9D7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title</vt:lpstr>
    </vt:vector>
  </TitlesOfParts>
  <Company>MBd</Company>
  <LinksUpToDate>false</LinksUpToDate>
  <CharactersWithSpaces>3416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http://www.fundsincourt.vic.gov.au/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title</dc:title>
  <dc:creator>Nanna Relina</dc:creator>
  <cp:lastModifiedBy>Jimmy Gorsovski</cp:lastModifiedBy>
  <cp:revision>2</cp:revision>
  <cp:lastPrinted>2021-02-02T01:01:00Z</cp:lastPrinted>
  <dcterms:created xsi:type="dcterms:W3CDTF">2024-07-18T04:44:00Z</dcterms:created>
  <dcterms:modified xsi:type="dcterms:W3CDTF">2024-07-18T04:44:00Z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</Properties>
</file>