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049A" w14:textId="5F69E5C9" w:rsidR="000B0B67" w:rsidRPr="00BA4DF2" w:rsidRDefault="00E22951" w:rsidP="007B1A7A">
      <w:pPr>
        <w:pStyle w:val="BodyText1"/>
        <w:rPr>
          <w:lang w:eastAsia="en-AU" w:bidi="en-AU"/>
        </w:rPr>
      </w:pPr>
      <w:r>
        <w:rPr>
          <w:noProof/>
          <w:lang w:eastAsia="en-AU"/>
        </w:rPr>
        <mc:AlternateContent>
          <mc:Choice Requires="wps">
            <w:drawing>
              <wp:anchor distT="0" distB="0" distL="114300" distR="114300" simplePos="0" relativeHeight="251658240" behindDoc="0" locked="1" layoutInCell="1" allowOverlap="0" wp14:anchorId="063991E9" wp14:editId="4C54EDDC">
                <wp:simplePos x="0" y="0"/>
                <wp:positionH relativeFrom="page">
                  <wp:posOffset>638810</wp:posOffset>
                </wp:positionH>
                <wp:positionV relativeFrom="page">
                  <wp:posOffset>620395</wp:posOffset>
                </wp:positionV>
                <wp:extent cx="4872355" cy="685800"/>
                <wp:effectExtent l="0" t="0" r="0" b="0"/>
                <wp:wrapSquare wrapText="bothSides"/>
                <wp:docPr id="135500726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4A4C8437" w:rsidR="004B3A39" w:rsidRPr="005B0B48" w:rsidRDefault="004B3A39" w:rsidP="007D6E73">
                            <w:pPr>
                              <w:pStyle w:val="FactsheetTitle"/>
                              <w:rPr>
                                <w:sz w:val="36"/>
                                <w:szCs w:val="20"/>
                              </w:rPr>
                            </w:pPr>
                            <w:r w:rsidRPr="005B0B48">
                              <w:rPr>
                                <w:sz w:val="36"/>
                                <w:szCs w:val="20"/>
                              </w:rPr>
                              <w:t>Information Sheet</w:t>
                            </w:r>
                          </w:p>
                          <w:p w14:paraId="34B6DBAE" w14:textId="30BC7CF2" w:rsidR="007D6E73" w:rsidRPr="00694BD4" w:rsidRDefault="00BB250D" w:rsidP="004B3A39">
                            <w:pPr>
                              <w:pStyle w:val="FactsheetTitle"/>
                            </w:pPr>
                            <w:r>
                              <w:t>Investment Risks</w:t>
                            </w:r>
                          </w:p>
                          <w:p w14:paraId="66166831" w14:textId="77777777" w:rsidR="007D6E73" w:rsidRDefault="007D6E73" w:rsidP="007D6E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50.3pt;margin-top:48.85pt;width:383.6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" o:allowoverlap="f" stroked="f">
                <v:fill opacity="0"/>
                <v:textbox>
                  <w:txbxContent>
                    <w:p w14:paraId="1E0C5C6B" w14:textId="4A4C8437" w:rsidR="004B3A39" w:rsidRPr="005B0B48" w:rsidRDefault="004B3A39" w:rsidP="007D6E73">
                      <w:pPr>
                        <w:pStyle w:val="FactsheetTitle"/>
                        <w:rPr>
                          <w:sz w:val="36"/>
                          <w:szCs w:val="20"/>
                        </w:rPr>
                      </w:pPr>
                      <w:r w:rsidRPr="005B0B48">
                        <w:rPr>
                          <w:sz w:val="36"/>
                          <w:szCs w:val="20"/>
                        </w:rPr>
                        <w:t>Information Sheet</w:t>
                      </w:r>
                    </w:p>
                    <w:p w14:paraId="34B6DBAE" w14:textId="30BC7CF2" w:rsidR="007D6E73" w:rsidRPr="00694BD4" w:rsidRDefault="00BB250D" w:rsidP="004B3A39">
                      <w:pPr>
                        <w:pStyle w:val="FactsheetTitle"/>
                      </w:pPr>
                      <w:r>
                        <w:t>Investment Risks</w:t>
                      </w:r>
                    </w:p>
                    <w:p w14:paraId="66166831" w14:textId="77777777" w:rsidR="007D6E73" w:rsidRDefault="007D6E73" w:rsidP="007D6E73"/>
                  </w:txbxContent>
                </v:textbox>
                <w10:wrap type="square" anchorx="page" anchory="page"/>
                <w10:anchorlock/>
              </v:shape>
            </w:pict>
          </mc:Fallback>
        </mc:AlternateContent>
      </w:r>
      <w:r w:rsidR="000B0B67" w:rsidRPr="00BA4DF2">
        <w:rPr>
          <w:lang w:eastAsia="en-AU" w:bidi="en-AU"/>
        </w:rPr>
        <w:t>This Information Sheet explains the investment risks that apply to funds held in Court. It also explains how Funds in Court (FIC) manages these risks.</w:t>
      </w:r>
    </w:p>
    <w:p w14:paraId="027073B2" w14:textId="77777777" w:rsidR="000B0B67" w:rsidRDefault="000B0B67" w:rsidP="007B1A7A">
      <w:pPr>
        <w:pStyle w:val="BodyText1"/>
        <w:rPr>
          <w:lang w:eastAsia="en-AU" w:bidi="en-AU"/>
        </w:rPr>
      </w:pPr>
    </w:p>
    <w:p w14:paraId="61124409" w14:textId="77E822A7" w:rsidR="00CD2552" w:rsidRDefault="00CD2552" w:rsidP="007B1A7A">
      <w:pPr>
        <w:pStyle w:val="BodyText1"/>
        <w:rPr>
          <w:lang w:eastAsia="en-AU" w:bidi="en-AU"/>
        </w:rPr>
      </w:pPr>
      <w:r w:rsidRPr="00BA4DF2">
        <w:rPr>
          <w:lang w:eastAsia="en-AU" w:bidi="en-AU"/>
        </w:rPr>
        <w:t xml:space="preserve">Please note this document does not contain financial advice or any other type of advice. It </w:t>
      </w:r>
      <w:r>
        <w:rPr>
          <w:lang w:eastAsia="en-AU" w:bidi="en-AU"/>
        </w:rPr>
        <w:t>only</w:t>
      </w:r>
      <w:r w:rsidRPr="00BA4DF2">
        <w:rPr>
          <w:lang w:eastAsia="en-AU" w:bidi="en-AU"/>
        </w:rPr>
        <w:t xml:space="preserve"> presents information. </w:t>
      </w:r>
      <w:r w:rsidR="004E5252">
        <w:rPr>
          <w:lang w:eastAsia="en-AU" w:bidi="en-AU"/>
        </w:rPr>
        <w:br/>
      </w:r>
    </w:p>
    <w:p w14:paraId="65C58B8E" w14:textId="77777777" w:rsidR="004E5252" w:rsidRDefault="004E5252" w:rsidP="007B1A7A">
      <w:pPr>
        <w:pStyle w:val="BodyText1"/>
        <w:rPr>
          <w:lang w:eastAsia="en-AU" w:bidi="en-AU"/>
        </w:rPr>
      </w:pPr>
      <w:r w:rsidRPr="00BA4DF2">
        <w:rPr>
          <w:lang w:eastAsia="en-AU" w:bidi="en-AU"/>
        </w:rPr>
        <w:t>We place client funds in Common Fund No. 2 (CF</w:t>
      </w:r>
      <w:r>
        <w:rPr>
          <w:lang w:eastAsia="en-AU" w:bidi="en-AU"/>
        </w:rPr>
        <w:noBreakHyphen/>
      </w:r>
      <w:r w:rsidRPr="00BA4DF2">
        <w:rPr>
          <w:lang w:eastAsia="en-AU" w:bidi="en-AU"/>
        </w:rPr>
        <w:t>2), and some clients also have funds in Common Fund No. 3 (CF</w:t>
      </w:r>
      <w:r>
        <w:rPr>
          <w:lang w:eastAsia="en-AU" w:bidi="en-AU"/>
        </w:rPr>
        <w:noBreakHyphen/>
      </w:r>
      <w:r w:rsidRPr="00BA4DF2">
        <w:rPr>
          <w:lang w:eastAsia="en-AU" w:bidi="en-AU"/>
        </w:rPr>
        <w:t xml:space="preserve">3). </w:t>
      </w:r>
    </w:p>
    <w:p w14:paraId="02966C62" w14:textId="77777777" w:rsidR="00B41F6C" w:rsidRPr="00B41F6C" w:rsidRDefault="00B41F6C" w:rsidP="007B1A7A">
      <w:pPr>
        <w:pStyle w:val="BodyText1"/>
      </w:pPr>
    </w:p>
    <w:p w14:paraId="4929EE45" w14:textId="77777777" w:rsidR="0059687B" w:rsidRPr="0059687B" w:rsidRDefault="0059687B" w:rsidP="0059687B">
      <w:pPr>
        <w:pStyle w:val="BodyText1"/>
        <w:pBdr>
          <w:top w:val="single" w:sz="12" w:space="1" w:color="981E32"/>
          <w:left w:val="single" w:sz="12" w:space="4" w:color="981E32"/>
          <w:bottom w:val="single" w:sz="12" w:space="1" w:color="981E32"/>
          <w:right w:val="single" w:sz="12" w:space="4" w:color="981E32"/>
        </w:pBdr>
        <w:rPr>
          <w:sz w:val="6"/>
          <w:szCs w:val="6"/>
        </w:rPr>
      </w:pPr>
    </w:p>
    <w:p w14:paraId="28887E0C" w14:textId="75E58E71" w:rsidR="00F63EA1" w:rsidRDefault="00F63EA1" w:rsidP="0059687B">
      <w:pPr>
        <w:pStyle w:val="BodyText1"/>
        <w:pBdr>
          <w:top w:val="single" w:sz="12" w:space="1" w:color="981E32"/>
          <w:left w:val="single" w:sz="12" w:space="4" w:color="981E32"/>
          <w:bottom w:val="single" w:sz="12" w:space="1" w:color="981E32"/>
          <w:right w:val="single" w:sz="12" w:space="4" w:color="981E32"/>
        </w:pBdr>
      </w:pPr>
      <w:r>
        <w:t>You can read our ‘Common Funds’ Information Sheet to find out more about CF</w:t>
      </w:r>
      <w:r>
        <w:noBreakHyphen/>
        <w:t>2 and CF</w:t>
      </w:r>
      <w:r>
        <w:noBreakHyphen/>
        <w:t xml:space="preserve">3. </w:t>
      </w:r>
    </w:p>
    <w:p w14:paraId="17586D07" w14:textId="77777777" w:rsidR="00F63EA1" w:rsidRDefault="00F63EA1" w:rsidP="0059687B">
      <w:pPr>
        <w:pStyle w:val="BodyText1"/>
        <w:pBdr>
          <w:top w:val="single" w:sz="12" w:space="1" w:color="981E32"/>
          <w:left w:val="single" w:sz="12" w:space="4" w:color="981E32"/>
          <w:bottom w:val="single" w:sz="12" w:space="1" w:color="981E32"/>
          <w:right w:val="single" w:sz="12" w:space="4" w:color="981E32"/>
        </w:pBdr>
      </w:pPr>
    </w:p>
    <w:p w14:paraId="365B50C7" w14:textId="77777777" w:rsidR="00F63EA1" w:rsidRDefault="00F63EA1" w:rsidP="0059687B">
      <w:pPr>
        <w:pStyle w:val="BodyText1"/>
        <w:pBdr>
          <w:top w:val="single" w:sz="12" w:space="1" w:color="981E32"/>
          <w:left w:val="single" w:sz="12" w:space="4" w:color="981E32"/>
          <w:bottom w:val="single" w:sz="12" w:space="1" w:color="981E32"/>
          <w:right w:val="single" w:sz="12" w:space="4" w:color="981E32"/>
        </w:pBdr>
      </w:pPr>
      <w:r>
        <w:t xml:space="preserve">This is available on our website </w:t>
      </w:r>
      <w:hyperlink r:id="rId11" w:history="1">
        <w:r w:rsidRPr="00356C5A">
          <w:rPr>
            <w:rStyle w:val="Hyperlink"/>
          </w:rPr>
          <w:t>www.fundsincourt.vic.gov.au</w:t>
        </w:r>
      </w:hyperlink>
      <w:r>
        <w:t xml:space="preserve"> or you can call us on </w:t>
      </w:r>
    </w:p>
    <w:p w14:paraId="6836B4B6" w14:textId="77777777" w:rsidR="00F63EA1" w:rsidRDefault="00F63EA1" w:rsidP="0059687B">
      <w:pPr>
        <w:pStyle w:val="BodyText1"/>
        <w:pBdr>
          <w:top w:val="single" w:sz="12" w:space="1" w:color="981E32"/>
          <w:left w:val="single" w:sz="12" w:space="4" w:color="981E32"/>
          <w:bottom w:val="single" w:sz="12" w:space="1" w:color="981E32"/>
          <w:right w:val="single" w:sz="12" w:space="4" w:color="981E32"/>
        </w:pBdr>
      </w:pPr>
      <w:r>
        <w:t>1300 039 390 to get a printed copy mailed to you.</w:t>
      </w:r>
    </w:p>
    <w:p w14:paraId="5C46E4FC" w14:textId="77777777" w:rsidR="0059687B" w:rsidRPr="0059687B" w:rsidRDefault="0059687B" w:rsidP="0059687B">
      <w:pPr>
        <w:pStyle w:val="BodyText1"/>
        <w:pBdr>
          <w:top w:val="single" w:sz="12" w:space="1" w:color="981E32"/>
          <w:left w:val="single" w:sz="12" w:space="4" w:color="981E32"/>
          <w:bottom w:val="single" w:sz="12" w:space="1" w:color="981E32"/>
          <w:right w:val="single" w:sz="12" w:space="4" w:color="981E32"/>
        </w:pBdr>
        <w:rPr>
          <w:sz w:val="6"/>
          <w:szCs w:val="6"/>
        </w:rPr>
      </w:pPr>
    </w:p>
    <w:p w14:paraId="1F27D14A" w14:textId="77777777" w:rsidR="008D5ABD" w:rsidRDefault="008D5ABD" w:rsidP="008D5ABD">
      <w:pPr>
        <w:pStyle w:val="Heading1"/>
      </w:pPr>
      <w:r>
        <w:t>General risks</w:t>
      </w:r>
    </w:p>
    <w:p w14:paraId="5594B9C1" w14:textId="77777777" w:rsidR="008D5ABD" w:rsidRPr="00B61A8B" w:rsidRDefault="008D5ABD" w:rsidP="007B1A7A">
      <w:pPr>
        <w:pStyle w:val="BodyText1"/>
      </w:pPr>
      <w:r w:rsidRPr="00B61A8B">
        <w:t>These risks apply to funds invested in CF</w:t>
      </w:r>
      <w:r>
        <w:noBreakHyphen/>
      </w:r>
      <w:r w:rsidRPr="00B61A8B">
        <w:t>2 and CF</w:t>
      </w:r>
      <w:r>
        <w:noBreakHyphen/>
      </w:r>
      <w:r w:rsidRPr="00B61A8B">
        <w:t xml:space="preserve">3. </w:t>
      </w:r>
    </w:p>
    <w:p w14:paraId="45A711F5" w14:textId="77777777" w:rsidR="008D5ABD" w:rsidRPr="000B5315" w:rsidRDefault="008D5ABD" w:rsidP="008D5ABD">
      <w:pPr>
        <w:pStyle w:val="Heading2"/>
      </w:pPr>
      <w:r>
        <w:t>Market risk</w:t>
      </w:r>
    </w:p>
    <w:tbl>
      <w:tblPr>
        <w:tblStyle w:val="PlainTable1"/>
        <w:tblW w:w="9358" w:type="dxa"/>
        <w:tblLook w:val="04A0" w:firstRow="1" w:lastRow="0" w:firstColumn="1" w:lastColumn="0" w:noHBand="0" w:noVBand="1"/>
      </w:tblPr>
      <w:tblGrid>
        <w:gridCol w:w="4679"/>
        <w:gridCol w:w="4679"/>
      </w:tblGrid>
      <w:tr w:rsidR="008D5ABD" w14:paraId="621EF09D" w14:textId="77777777" w:rsidTr="00184F24">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679" w:type="dxa"/>
          </w:tcPr>
          <w:p w14:paraId="3568AC9C" w14:textId="3A21A8BE" w:rsidR="008D5ABD" w:rsidRDefault="008D5ABD" w:rsidP="00184F24">
            <w:pPr>
              <w:spacing w:before="60" w:after="60"/>
            </w:pPr>
            <w:r w:rsidRPr="003B072E">
              <w:rPr>
                <w:color w:val="auto"/>
              </w:rPr>
              <w:t>Description</w:t>
            </w:r>
            <w:r w:rsidR="00FB1630">
              <w:rPr>
                <w:color w:val="auto"/>
              </w:rPr>
              <w:t xml:space="preserve"> of risk</w:t>
            </w:r>
          </w:p>
        </w:tc>
        <w:tc>
          <w:tcPr>
            <w:tcW w:w="4679" w:type="dxa"/>
          </w:tcPr>
          <w:p w14:paraId="0BB2B6E4" w14:textId="77777777" w:rsidR="008D5ABD" w:rsidRPr="003B072E" w:rsidRDefault="008D5ABD" w:rsidP="00184F24">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3B072E">
              <w:rPr>
                <w:color w:val="auto"/>
              </w:rPr>
              <w:t>How does FIC manage this risk?</w:t>
            </w:r>
          </w:p>
        </w:tc>
      </w:tr>
      <w:tr w:rsidR="008D5ABD" w14:paraId="000109F5" w14:textId="77777777" w:rsidTr="00184F24">
        <w:trPr>
          <w:cnfStyle w:val="000000100000" w:firstRow="0" w:lastRow="0" w:firstColumn="0" w:lastColumn="0" w:oddVBand="0" w:evenVBand="0" w:oddHBand="1" w:evenHBand="0" w:firstRowFirstColumn="0" w:firstRowLastColumn="0" w:lastRowFirstColumn="0" w:lastRowLastColumn="0"/>
          <w:trHeight w:val="3177"/>
        </w:trPr>
        <w:tc>
          <w:tcPr>
            <w:cnfStyle w:val="001000000000" w:firstRow="0" w:lastRow="0" w:firstColumn="1" w:lastColumn="0" w:oddVBand="0" w:evenVBand="0" w:oddHBand="0" w:evenHBand="0" w:firstRowFirstColumn="0" w:firstRowLastColumn="0" w:lastRowFirstColumn="0" w:lastRowLastColumn="0"/>
            <w:tcW w:w="4679" w:type="dxa"/>
          </w:tcPr>
          <w:p w14:paraId="6C4801CB" w14:textId="77777777" w:rsidR="000C77B7" w:rsidRPr="00E4509F" w:rsidRDefault="000C77B7" w:rsidP="00184F24">
            <w:pPr>
              <w:pStyle w:val="BodyText1"/>
              <w:spacing w:before="60" w:after="60"/>
              <w:rPr>
                <w:b w:val="0"/>
                <w:bCs w:val="0"/>
              </w:rPr>
            </w:pPr>
            <w:r w:rsidRPr="00E4509F">
              <w:rPr>
                <w:b w:val="0"/>
                <w:bCs w:val="0"/>
              </w:rPr>
              <w:t xml:space="preserve">All investments include an element of market risk. Market risk relates to the market value of an investment or asset class being impacted by factors such as the stage of the economic cycle, changes in government policy and central bank policy. </w:t>
            </w:r>
          </w:p>
          <w:p w14:paraId="57F0E618" w14:textId="77777777" w:rsidR="000C77B7" w:rsidRPr="00E4509F" w:rsidRDefault="000C77B7" w:rsidP="00184F24">
            <w:pPr>
              <w:pStyle w:val="BodyText1"/>
              <w:spacing w:before="60" w:after="60"/>
              <w:rPr>
                <w:b w:val="0"/>
                <w:bCs w:val="0"/>
              </w:rPr>
            </w:pPr>
          </w:p>
          <w:p w14:paraId="18EB3905" w14:textId="2179C7C0" w:rsidR="008D5ABD" w:rsidRPr="00E4509F" w:rsidRDefault="000C77B7" w:rsidP="00184F24">
            <w:pPr>
              <w:pStyle w:val="BodyText1"/>
              <w:spacing w:before="60" w:after="60"/>
              <w:rPr>
                <w:b w:val="0"/>
                <w:bCs w:val="0"/>
              </w:rPr>
            </w:pPr>
            <w:r w:rsidRPr="00E4509F">
              <w:rPr>
                <w:b w:val="0"/>
                <w:bCs w:val="0"/>
              </w:rPr>
              <w:t>When the market value falls it is possible to experience periods of negative returns, particularly in the short term.</w:t>
            </w:r>
          </w:p>
        </w:tc>
        <w:tc>
          <w:tcPr>
            <w:tcW w:w="4679" w:type="dxa"/>
          </w:tcPr>
          <w:p w14:paraId="0D660338" w14:textId="6F93227E" w:rsidR="00680CF2" w:rsidRDefault="00680CF2"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FIC invests in a mix of different asset classes (diversification) to reduce market risk. FIC implements a relatively conservative investment strategy and therefore the asset allocation consists mainly of defensive, income</w:t>
            </w:r>
            <w:r w:rsidR="0018320A">
              <w:t>-</w:t>
            </w:r>
            <w:r>
              <w:t>producing assets, with a portion of the funds also invested in traditional growth assets.</w:t>
            </w:r>
          </w:p>
          <w:p w14:paraId="7ACE67CD" w14:textId="77777777" w:rsidR="00680CF2" w:rsidRDefault="00680CF2" w:rsidP="00184F24">
            <w:pPr>
              <w:pStyle w:val="Tabledotpoints"/>
              <w:numPr>
                <w:ilvl w:val="0"/>
                <w:numId w:val="0"/>
              </w:numPr>
              <w:spacing w:before="60" w:after="60"/>
              <w:ind w:left="181"/>
              <w:cnfStyle w:val="000000100000" w:firstRow="0" w:lastRow="0" w:firstColumn="0" w:lastColumn="0" w:oddVBand="0" w:evenVBand="0" w:oddHBand="1" w:evenHBand="0" w:firstRowFirstColumn="0" w:firstRowLastColumn="0" w:lastRowFirstColumn="0" w:lastRowLastColumn="0"/>
            </w:pPr>
          </w:p>
          <w:p w14:paraId="48765E00" w14:textId="65919CC2" w:rsidR="008D5ABD" w:rsidRPr="00A718EF" w:rsidRDefault="00680CF2"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FIC adopts a long</w:t>
            </w:r>
            <w:r w:rsidR="00FF461D">
              <w:t>-</w:t>
            </w:r>
            <w:r>
              <w:t xml:space="preserve">term investment approach which aims to minimise the risk of permanent </w:t>
            </w:r>
            <w:r w:rsidRPr="00680CF2">
              <w:t>capital loss in the short term.</w:t>
            </w:r>
          </w:p>
        </w:tc>
      </w:tr>
      <w:tr w:rsidR="008D5ABD" w14:paraId="741C8130" w14:textId="77777777" w:rsidTr="00184F24">
        <w:trPr>
          <w:trHeight w:val="2748"/>
        </w:trPr>
        <w:tc>
          <w:tcPr>
            <w:cnfStyle w:val="001000000000" w:firstRow="0" w:lastRow="0" w:firstColumn="1" w:lastColumn="0" w:oddVBand="0" w:evenVBand="0" w:oddHBand="0" w:evenHBand="0" w:firstRowFirstColumn="0" w:firstRowLastColumn="0" w:lastRowFirstColumn="0" w:lastRowLastColumn="0"/>
            <w:tcW w:w="4679" w:type="dxa"/>
          </w:tcPr>
          <w:p w14:paraId="42E7BB52" w14:textId="79AB6CC5" w:rsidR="008D5ABD" w:rsidRPr="00E4509F" w:rsidRDefault="008B7599" w:rsidP="00184F24">
            <w:pPr>
              <w:pStyle w:val="BodyText1"/>
              <w:spacing w:before="60" w:after="60"/>
              <w:rPr>
                <w:b w:val="0"/>
                <w:bCs w:val="0"/>
              </w:rPr>
            </w:pPr>
            <w:r w:rsidRPr="00E4509F">
              <w:rPr>
                <w:b w:val="0"/>
                <w:bCs w:val="0"/>
              </w:rPr>
              <w:t xml:space="preserve">Different asset classes have varying degrees of market risk and return potential. </w:t>
            </w:r>
            <w:proofErr w:type="gramStart"/>
            <w:r w:rsidRPr="00E4509F">
              <w:rPr>
                <w:b w:val="0"/>
                <w:bCs w:val="0"/>
              </w:rPr>
              <w:t>Generally speaking, high-risk</w:t>
            </w:r>
            <w:proofErr w:type="gramEnd"/>
            <w:r w:rsidRPr="00E4509F">
              <w:rPr>
                <w:b w:val="0"/>
                <w:bCs w:val="0"/>
              </w:rPr>
              <w:t xml:space="preserve"> investments have the potential for the highest returns, whilst low-risk investments generate lower returns. This is known as the risk/return trade off and is applicable to all investments.</w:t>
            </w:r>
          </w:p>
        </w:tc>
        <w:tc>
          <w:tcPr>
            <w:tcW w:w="4679" w:type="dxa"/>
          </w:tcPr>
          <w:p w14:paraId="0022099B" w14:textId="249530C4" w:rsidR="009D6913" w:rsidRDefault="009D6913" w:rsidP="00184F24">
            <w:pPr>
              <w:pStyle w:val="Tabledotpoints"/>
              <w:spacing w:before="60" w:after="60"/>
              <w:cnfStyle w:val="000000000000" w:firstRow="0" w:lastRow="0" w:firstColumn="0" w:lastColumn="0" w:oddVBand="0" w:evenVBand="0" w:oddHBand="0" w:evenHBand="0" w:firstRowFirstColumn="0" w:firstRowLastColumn="0" w:lastRowFirstColumn="0" w:lastRowLastColumn="0"/>
            </w:pPr>
            <w:r>
              <w:t xml:space="preserve">FIC obtains specialist advice to assist in the setting of an appropriate long-term strategic asset allocation for clients. The strategic asset allocation is subject to ongoing review </w:t>
            </w:r>
            <w:proofErr w:type="gramStart"/>
            <w:r>
              <w:t>in order to</w:t>
            </w:r>
            <w:proofErr w:type="gramEnd"/>
            <w:r>
              <w:t xml:space="preserve"> meet the risk and return objectives of FIC.</w:t>
            </w:r>
            <w:r>
              <w:br/>
            </w:r>
          </w:p>
          <w:p w14:paraId="175A091E" w14:textId="00843634" w:rsidR="008D5ABD" w:rsidRPr="008253F6" w:rsidRDefault="009D6913" w:rsidP="00184F24">
            <w:pPr>
              <w:pStyle w:val="Tabledotpoints"/>
              <w:spacing w:before="60" w:after="60"/>
              <w:cnfStyle w:val="000000000000" w:firstRow="0" w:lastRow="0" w:firstColumn="0" w:lastColumn="0" w:oddVBand="0" w:evenVBand="0" w:oddHBand="0" w:evenHBand="0" w:firstRowFirstColumn="0" w:firstRowLastColumn="0" w:lastRowFirstColumn="0" w:lastRowLastColumn="0"/>
            </w:pPr>
            <w:r>
              <w:t xml:space="preserve">FIC also reviews the asset allocation of each client’s account </w:t>
            </w:r>
            <w:proofErr w:type="gramStart"/>
            <w:r>
              <w:t>on a monthly basis</w:t>
            </w:r>
            <w:proofErr w:type="gramEnd"/>
            <w:r>
              <w:t xml:space="preserve"> to ensure consistency with the recommended strategic asset allocation and permitted tolerance range.</w:t>
            </w:r>
          </w:p>
        </w:tc>
      </w:tr>
    </w:tbl>
    <w:p w14:paraId="0494FE9C" w14:textId="77777777" w:rsidR="008D5ABD" w:rsidRDefault="008D5ABD" w:rsidP="008D5ABD">
      <w:pPr>
        <w:pStyle w:val="Heading1"/>
      </w:pPr>
      <w:r>
        <w:lastRenderedPageBreak/>
        <w:t>Fixed income risks</w:t>
      </w:r>
    </w:p>
    <w:p w14:paraId="62F85700" w14:textId="77777777" w:rsidR="008D5ABD" w:rsidRDefault="008D5ABD" w:rsidP="007B1A7A">
      <w:pPr>
        <w:pStyle w:val="BodyText1"/>
      </w:pPr>
      <w:r>
        <w:t>These risks apply to funds invested in CF</w:t>
      </w:r>
      <w:r>
        <w:noBreakHyphen/>
        <w:t>2.</w:t>
      </w:r>
    </w:p>
    <w:p w14:paraId="6C2E7AE8" w14:textId="77777777" w:rsidR="008D5ABD" w:rsidRPr="00C77CB7" w:rsidRDefault="008D5ABD" w:rsidP="008D5ABD">
      <w:pPr>
        <w:pStyle w:val="Heading2"/>
      </w:pPr>
      <w:r>
        <w:t>Interest rate risk</w:t>
      </w:r>
    </w:p>
    <w:tbl>
      <w:tblPr>
        <w:tblStyle w:val="PlainTable1"/>
        <w:tblW w:w="9351" w:type="dxa"/>
        <w:tblLook w:val="04A0" w:firstRow="1" w:lastRow="0" w:firstColumn="1" w:lastColumn="0" w:noHBand="0" w:noVBand="1"/>
      </w:tblPr>
      <w:tblGrid>
        <w:gridCol w:w="4673"/>
        <w:gridCol w:w="4678"/>
      </w:tblGrid>
      <w:tr w:rsidR="008D5ABD" w14:paraId="2ABABC19" w14:textId="77777777" w:rsidTr="00184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E2E034D" w14:textId="77777777" w:rsidR="008D5ABD" w:rsidRPr="00DA3827" w:rsidRDefault="008D5ABD" w:rsidP="00184F24">
            <w:pPr>
              <w:spacing w:before="60" w:after="60"/>
              <w:rPr>
                <w:color w:val="auto"/>
              </w:rPr>
            </w:pPr>
            <w:r w:rsidRPr="00DA3827">
              <w:rPr>
                <w:color w:val="auto"/>
              </w:rPr>
              <w:t>Description of risk</w:t>
            </w:r>
          </w:p>
        </w:tc>
        <w:tc>
          <w:tcPr>
            <w:tcW w:w="4678" w:type="dxa"/>
          </w:tcPr>
          <w:p w14:paraId="564185E6" w14:textId="77777777" w:rsidR="008D5ABD" w:rsidRPr="00DA3827" w:rsidRDefault="008D5ABD" w:rsidP="00184F24">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DA3827">
              <w:rPr>
                <w:color w:val="auto"/>
              </w:rPr>
              <w:t>How does FIC manage this risk?</w:t>
            </w:r>
          </w:p>
        </w:tc>
      </w:tr>
      <w:tr w:rsidR="008D5ABD" w14:paraId="494EC5A8" w14:textId="77777777" w:rsidTr="00184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92F4EC" w14:textId="714875A9" w:rsidR="00200854" w:rsidRPr="00C20E6F" w:rsidRDefault="00200854" w:rsidP="00184F24">
            <w:pPr>
              <w:pStyle w:val="BodyText1"/>
              <w:spacing w:before="60" w:after="60"/>
              <w:rPr>
                <w:b w:val="0"/>
                <w:bCs w:val="0"/>
              </w:rPr>
            </w:pPr>
            <w:r w:rsidRPr="00C20E6F">
              <w:rPr>
                <w:b w:val="0"/>
                <w:bCs w:val="0"/>
              </w:rPr>
              <w:t>The capital value (or price) of a fixed-income security will rise or fall depending on economic conditions and movements in interest rates.</w:t>
            </w:r>
          </w:p>
          <w:p w14:paraId="61D51847" w14:textId="77777777" w:rsidR="00200854" w:rsidRPr="00C20E6F" w:rsidRDefault="00200854" w:rsidP="00184F24">
            <w:pPr>
              <w:pStyle w:val="BodyText1"/>
              <w:spacing w:before="60" w:after="60"/>
            </w:pPr>
          </w:p>
          <w:p w14:paraId="7B2FC51E" w14:textId="681B1FD9" w:rsidR="008D5ABD" w:rsidRPr="00C77CB7" w:rsidRDefault="00200854" w:rsidP="00184F24">
            <w:pPr>
              <w:pStyle w:val="BodyText1"/>
              <w:spacing w:before="60" w:after="60"/>
            </w:pPr>
            <w:r w:rsidRPr="00C20E6F">
              <w:rPr>
                <w:b w:val="0"/>
                <w:bCs w:val="0"/>
              </w:rPr>
              <w:t>For example, when interest rates/bond yields rise, the capital value (or price) of the bond will fall.</w:t>
            </w:r>
          </w:p>
        </w:tc>
        <w:tc>
          <w:tcPr>
            <w:tcW w:w="4678" w:type="dxa"/>
          </w:tcPr>
          <w:p w14:paraId="1DF22AF4" w14:textId="6A40FCB7" w:rsidR="00842126" w:rsidRDefault="00842126"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 xml:space="preserve">FIC obtains specialist fixed income advice </w:t>
            </w:r>
            <w:proofErr w:type="gramStart"/>
            <w:r>
              <w:t>in regard to</w:t>
            </w:r>
            <w:proofErr w:type="gramEnd"/>
            <w:r>
              <w:t xml:space="preserve"> the Fund’s positioning and prior to the implementation of each individual investment (purchase or sale).</w:t>
            </w:r>
            <w:r>
              <w:br/>
            </w:r>
          </w:p>
          <w:p w14:paraId="6E669806" w14:textId="7B2773EB" w:rsidR="00842126" w:rsidRDefault="00842126"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 xml:space="preserve">The Fund’s positioning is reviewed on an ongoing basis to ensure its appropriateness to prevailing conditions in the interest rate market and </w:t>
            </w:r>
            <w:proofErr w:type="gramStart"/>
            <w:r>
              <w:t>in order to</w:t>
            </w:r>
            <w:proofErr w:type="gramEnd"/>
            <w:r>
              <w:t xml:space="preserve"> meet the Fund’s objectives.</w:t>
            </w:r>
            <w:r w:rsidR="00106B34">
              <w:br/>
            </w:r>
          </w:p>
          <w:p w14:paraId="6D1E9533" w14:textId="3013BB63" w:rsidR="008D5ABD" w:rsidRPr="00A718EF" w:rsidRDefault="00842126"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FIC primarily adopts a hold to maturity approach to investment in fixed</w:t>
            </w:r>
            <w:r w:rsidR="00106B34">
              <w:t>-</w:t>
            </w:r>
            <w:r>
              <w:t xml:space="preserve">income securities. This approach is consistent with the conservative investment strategy of FIC and need to preserve capital. In some circumstances FIC will sell a security prior to maturity </w:t>
            </w:r>
            <w:proofErr w:type="gramStart"/>
            <w:r>
              <w:t>in order to</w:t>
            </w:r>
            <w:proofErr w:type="gramEnd"/>
            <w:r>
              <w:t xml:space="preserve"> realise a capital gain. There may also be times when it is required to realise a capital loss, for example, </w:t>
            </w:r>
            <w:proofErr w:type="gramStart"/>
            <w:r>
              <w:t>in order to</w:t>
            </w:r>
            <w:proofErr w:type="gramEnd"/>
            <w:r>
              <w:t xml:space="preserve"> reposition the portfolio</w:t>
            </w:r>
            <w:r w:rsidR="00106B34">
              <w:t xml:space="preserve"> </w:t>
            </w:r>
            <w:r>
              <w:t>due to changes in interest rates and market environment.</w:t>
            </w:r>
          </w:p>
        </w:tc>
      </w:tr>
      <w:tr w:rsidR="00A302BB" w14:paraId="2B8DB0EE" w14:textId="77777777" w:rsidTr="00184F24">
        <w:tc>
          <w:tcPr>
            <w:cnfStyle w:val="001000000000" w:firstRow="0" w:lastRow="0" w:firstColumn="1" w:lastColumn="0" w:oddVBand="0" w:evenVBand="0" w:oddHBand="0" w:evenHBand="0" w:firstRowFirstColumn="0" w:firstRowLastColumn="0" w:lastRowFirstColumn="0" w:lastRowLastColumn="0"/>
            <w:tcW w:w="4673" w:type="dxa"/>
          </w:tcPr>
          <w:p w14:paraId="2EE49E26" w14:textId="39A844DF" w:rsidR="00A302BB" w:rsidRPr="00C20E6F" w:rsidRDefault="007B1A7A" w:rsidP="00184F24">
            <w:pPr>
              <w:pStyle w:val="BodyText1"/>
              <w:spacing w:before="60" w:after="60"/>
              <w:rPr>
                <w:b w:val="0"/>
                <w:bCs w:val="0"/>
              </w:rPr>
            </w:pPr>
            <w:r w:rsidRPr="00C20E6F">
              <w:rPr>
                <w:b w:val="0"/>
                <w:bCs w:val="0"/>
              </w:rPr>
              <w:t>Longer-dated fixed-income securities are more sensitive to changes in interest rate risk compared to shorter-dated fixed income securities (also known as duration risk).</w:t>
            </w:r>
          </w:p>
        </w:tc>
        <w:tc>
          <w:tcPr>
            <w:tcW w:w="4678" w:type="dxa"/>
          </w:tcPr>
          <w:p w14:paraId="1393E38F" w14:textId="58572A2C" w:rsidR="00A302BB" w:rsidRDefault="00F47A04" w:rsidP="00184F24">
            <w:pPr>
              <w:pStyle w:val="Tabledotpoints"/>
              <w:spacing w:before="60" w:after="60"/>
              <w:cnfStyle w:val="000000000000" w:firstRow="0" w:lastRow="0" w:firstColumn="0" w:lastColumn="0" w:oddVBand="0" w:evenVBand="0" w:oddHBand="0" w:evenHBand="0" w:firstRowFirstColumn="0" w:firstRowLastColumn="0" w:lastRowFirstColumn="0" w:lastRowLastColumn="0"/>
            </w:pPr>
            <w:r w:rsidRPr="00F47A04">
              <w:t xml:space="preserve">The Fund is actively managed </w:t>
            </w:r>
            <w:proofErr w:type="gramStart"/>
            <w:r w:rsidRPr="00F47A04">
              <w:t>in regard to</w:t>
            </w:r>
            <w:proofErr w:type="gramEnd"/>
            <w:r w:rsidRPr="00F47A04">
              <w:t xml:space="preserve"> duration risk. There are also specific guidelines that stipulate the permitted duration range of the Fund compared to the relevant benchmark.</w:t>
            </w:r>
          </w:p>
        </w:tc>
      </w:tr>
      <w:tr w:rsidR="00A302BB" w14:paraId="49EAF939" w14:textId="77777777" w:rsidTr="00184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FD9E135" w14:textId="620E601B" w:rsidR="00F47A04" w:rsidRPr="00132442" w:rsidRDefault="00F47A04" w:rsidP="00184F24">
            <w:pPr>
              <w:pStyle w:val="BodyText1"/>
              <w:spacing w:before="60" w:after="60"/>
              <w:rPr>
                <w:b w:val="0"/>
                <w:bCs w:val="0"/>
              </w:rPr>
            </w:pPr>
            <w:r w:rsidRPr="00132442">
              <w:rPr>
                <w:b w:val="0"/>
                <w:bCs w:val="0"/>
              </w:rPr>
              <w:t>When interest rates fall the annual crediting rate of the Fund is likely to be lower compared to the previous year’s crediting rate. This is mainly due to the lower rate of</w:t>
            </w:r>
          </w:p>
          <w:p w14:paraId="51CC682F" w14:textId="090D68B5" w:rsidR="00E60D57" w:rsidRPr="00E60D57" w:rsidRDefault="00F47A04" w:rsidP="00184F24">
            <w:pPr>
              <w:pStyle w:val="BodyText1"/>
              <w:spacing w:before="60" w:after="60"/>
              <w:rPr>
                <w:b w:val="0"/>
                <w:bCs w:val="0"/>
              </w:rPr>
            </w:pPr>
            <w:r w:rsidRPr="00F47A04">
              <w:rPr>
                <w:b w:val="0"/>
                <w:bCs w:val="0"/>
              </w:rPr>
              <w:t xml:space="preserve">interest earned on </w:t>
            </w:r>
            <w:r w:rsidR="00447EC3">
              <w:rPr>
                <w:b w:val="0"/>
                <w:bCs w:val="0"/>
              </w:rPr>
              <w:t>‘</w:t>
            </w:r>
            <w:r w:rsidRPr="00F47A04">
              <w:rPr>
                <w:b w:val="0"/>
                <w:bCs w:val="0"/>
              </w:rPr>
              <w:t>at call</w:t>
            </w:r>
            <w:r w:rsidR="00447EC3">
              <w:rPr>
                <w:b w:val="0"/>
                <w:bCs w:val="0"/>
              </w:rPr>
              <w:t>’</w:t>
            </w:r>
            <w:r w:rsidR="00E60D57">
              <w:rPr>
                <w:b w:val="0"/>
                <w:bCs w:val="0"/>
              </w:rPr>
              <w:t xml:space="preserve"> </w:t>
            </w:r>
            <w:r w:rsidR="00E60D57" w:rsidRPr="00E60D57">
              <w:rPr>
                <w:b w:val="0"/>
                <w:bCs w:val="0"/>
              </w:rPr>
              <w:t xml:space="preserve">cash and other short-term investments in the Fund (including term deposits). </w:t>
            </w:r>
          </w:p>
          <w:p w14:paraId="209EFE17" w14:textId="77777777" w:rsidR="00E60D57" w:rsidRPr="00E60D57" w:rsidRDefault="00E60D57" w:rsidP="00184F24">
            <w:pPr>
              <w:pStyle w:val="BodyText1"/>
              <w:spacing w:before="60" w:after="60"/>
              <w:rPr>
                <w:b w:val="0"/>
                <w:bCs w:val="0"/>
              </w:rPr>
            </w:pPr>
          </w:p>
          <w:p w14:paraId="4367C4A4" w14:textId="36436368" w:rsidR="00A302BB" w:rsidRPr="00F47A04" w:rsidRDefault="00E60D57" w:rsidP="00184F24">
            <w:pPr>
              <w:pStyle w:val="BodyText1"/>
              <w:spacing w:before="60" w:after="60"/>
              <w:rPr>
                <w:b w:val="0"/>
                <w:bCs w:val="0"/>
              </w:rPr>
            </w:pPr>
            <w:r w:rsidRPr="00E60D57">
              <w:rPr>
                <w:b w:val="0"/>
                <w:bCs w:val="0"/>
              </w:rPr>
              <w:t>For example, maturing term deposits may need to be reinvested at lower rates of interest.</w:t>
            </w:r>
          </w:p>
        </w:tc>
        <w:tc>
          <w:tcPr>
            <w:tcW w:w="4678" w:type="dxa"/>
          </w:tcPr>
          <w:p w14:paraId="63D126D2" w14:textId="627691A3" w:rsidR="00447EC3" w:rsidRDefault="00E60D57"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rsidRPr="00E60D57">
              <w:t>Fund liquidity is managed daily. FIC aims to maintain a sufficient level of liquidity to meet orders for payment out, whilst any excess liquidity is invested in a mix of longer</w:t>
            </w:r>
            <w:r w:rsidR="00447EC3">
              <w:t>-</w:t>
            </w:r>
            <w:r w:rsidRPr="00E60D57">
              <w:t>term securities to enhance returns. FIC regularly reviews the</w:t>
            </w:r>
            <w:r w:rsidR="00447EC3">
              <w:t xml:space="preserve"> interest rates on offer from the major Australian banks in the ‘at call’ and term deposit market.</w:t>
            </w:r>
            <w:r w:rsidR="00447EC3">
              <w:br/>
            </w:r>
          </w:p>
          <w:p w14:paraId="7EEFA071" w14:textId="09ABB88C" w:rsidR="00A302BB" w:rsidRDefault="00447EC3"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 xml:space="preserve">The Fund invests in a diversified range of fixed-income securities. Diversification </w:t>
            </w:r>
            <w:r>
              <w:lastRenderedPageBreak/>
              <w:t xml:space="preserve">plays an important role in minimising the risk that one underperforming investment has on the rest of the portfolio. FIC’s </w:t>
            </w:r>
            <w:r w:rsidR="000F0184">
              <w:t>asset management policy</w:t>
            </w:r>
            <w:r>
              <w:t xml:space="preserve"> establishes the permitted portfolio exposure ranges for each authorised investment. This assists in meeting the diversification requirements and the Fund’s risk and return objectives.</w:t>
            </w:r>
          </w:p>
        </w:tc>
      </w:tr>
    </w:tbl>
    <w:p w14:paraId="6E019FCF" w14:textId="77777777" w:rsidR="008D5ABD" w:rsidRDefault="008D5ABD" w:rsidP="008D5ABD">
      <w:pPr>
        <w:pStyle w:val="Heading2"/>
      </w:pPr>
      <w:r>
        <w:lastRenderedPageBreak/>
        <w:t>Credit risk</w:t>
      </w:r>
    </w:p>
    <w:tbl>
      <w:tblPr>
        <w:tblStyle w:val="PlainTable1"/>
        <w:tblW w:w="9398" w:type="dxa"/>
        <w:tblLook w:val="04A0" w:firstRow="1" w:lastRow="0" w:firstColumn="1" w:lastColumn="0" w:noHBand="0" w:noVBand="1"/>
      </w:tblPr>
      <w:tblGrid>
        <w:gridCol w:w="4699"/>
        <w:gridCol w:w="4699"/>
      </w:tblGrid>
      <w:tr w:rsidR="008D5ABD" w14:paraId="3941A073" w14:textId="77777777" w:rsidTr="00184F24">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699" w:type="dxa"/>
          </w:tcPr>
          <w:p w14:paraId="4F5CC9F9" w14:textId="77777777" w:rsidR="008D5ABD" w:rsidRPr="00C77CB7" w:rsidRDefault="008D5ABD" w:rsidP="00184F24">
            <w:pPr>
              <w:pStyle w:val="BodyText1"/>
              <w:spacing w:before="60" w:after="60"/>
            </w:pPr>
            <w:r w:rsidRPr="00DA3827">
              <w:t>Description of risk</w:t>
            </w:r>
          </w:p>
        </w:tc>
        <w:tc>
          <w:tcPr>
            <w:tcW w:w="4699" w:type="dxa"/>
          </w:tcPr>
          <w:p w14:paraId="35BD4660" w14:textId="77777777" w:rsidR="008D5ABD" w:rsidRPr="00C77CB7" w:rsidRDefault="008D5ABD" w:rsidP="00184F24">
            <w:pPr>
              <w:pStyle w:val="Tabledotpoints"/>
              <w:numPr>
                <w:ilvl w:val="0"/>
                <w:numId w:val="0"/>
              </w:numPr>
              <w:spacing w:before="60" w:after="60"/>
              <w:cnfStyle w:val="100000000000" w:firstRow="1" w:lastRow="0" w:firstColumn="0" w:lastColumn="0" w:oddVBand="0" w:evenVBand="0" w:oddHBand="0" w:evenHBand="0" w:firstRowFirstColumn="0" w:firstRowLastColumn="0" w:lastRowFirstColumn="0" w:lastRowLastColumn="0"/>
            </w:pPr>
            <w:r w:rsidRPr="00DA3827">
              <w:t>How does FIC manage this risk?</w:t>
            </w:r>
          </w:p>
        </w:tc>
      </w:tr>
      <w:tr w:rsidR="008D5ABD" w14:paraId="2AE20B53" w14:textId="77777777" w:rsidTr="00184F24">
        <w:trPr>
          <w:cnfStyle w:val="000000100000" w:firstRow="0" w:lastRow="0" w:firstColumn="0" w:lastColumn="0" w:oddVBand="0" w:evenVBand="0" w:oddHBand="1" w:evenHBand="0" w:firstRowFirstColumn="0" w:firstRowLastColumn="0" w:lastRowFirstColumn="0" w:lastRowLastColumn="0"/>
          <w:trHeight w:val="3768"/>
        </w:trPr>
        <w:tc>
          <w:tcPr>
            <w:cnfStyle w:val="001000000000" w:firstRow="0" w:lastRow="0" w:firstColumn="1" w:lastColumn="0" w:oddVBand="0" w:evenVBand="0" w:oddHBand="0" w:evenHBand="0" w:firstRowFirstColumn="0" w:firstRowLastColumn="0" w:lastRowFirstColumn="0" w:lastRowLastColumn="0"/>
            <w:tcW w:w="4699" w:type="dxa"/>
          </w:tcPr>
          <w:p w14:paraId="25B531DF" w14:textId="65D1045F" w:rsidR="008D5ABD" w:rsidRPr="000F0184" w:rsidRDefault="000F0184" w:rsidP="00184F24">
            <w:pPr>
              <w:pStyle w:val="BodyText1"/>
              <w:spacing w:before="60" w:after="60"/>
              <w:rPr>
                <w:b w:val="0"/>
                <w:bCs w:val="0"/>
              </w:rPr>
            </w:pPr>
            <w:r w:rsidRPr="000F0184">
              <w:rPr>
                <w:b w:val="0"/>
                <w:bCs w:val="0"/>
              </w:rPr>
              <w:t>The risk that an issuer of a fixed</w:t>
            </w:r>
            <w:r>
              <w:rPr>
                <w:b w:val="0"/>
                <w:bCs w:val="0"/>
              </w:rPr>
              <w:t>-</w:t>
            </w:r>
            <w:r w:rsidRPr="000F0184">
              <w:rPr>
                <w:b w:val="0"/>
                <w:bCs w:val="0"/>
              </w:rPr>
              <w:t>income security is unable to meet their obligations to pay interest and principal when due (also known as default risk).</w:t>
            </w:r>
          </w:p>
        </w:tc>
        <w:tc>
          <w:tcPr>
            <w:tcW w:w="4699" w:type="dxa"/>
          </w:tcPr>
          <w:p w14:paraId="75A3E055" w14:textId="2573A659" w:rsidR="008D5ABD" w:rsidRPr="00813B0E" w:rsidRDefault="00935615"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rsidRPr="00935615">
              <w:t>The Fund invests only in Commonwealth and semi government securities, cash, term deposits and fixed</w:t>
            </w:r>
            <w:r>
              <w:t>-</w:t>
            </w:r>
            <w:r w:rsidRPr="00935615">
              <w:t xml:space="preserve">income securities issued by the major Australian banks, securities issued in Australia by foreign sovereigns/ </w:t>
            </w:r>
            <w:proofErr w:type="spellStart"/>
            <w:r w:rsidRPr="00935615">
              <w:t>supranationals</w:t>
            </w:r>
            <w:proofErr w:type="spellEnd"/>
            <w:r w:rsidRPr="00935615">
              <w:t xml:space="preserve">, corporate securities with a minimum BBB credit rating, index linked securities, and other investments as authorised from time to time by the Senior Master. </w:t>
            </w:r>
            <w:r>
              <w:br/>
            </w:r>
            <w:r>
              <w:br/>
            </w:r>
            <w:r w:rsidRPr="00935615">
              <w:t>In practice, this means that all investments in the Fund currently have a credit rating ranging between BBB to AAA by a major rating agency. AAA is the highest credit quality within the fixed</w:t>
            </w:r>
            <w:r>
              <w:t>-</w:t>
            </w:r>
            <w:r w:rsidRPr="00935615">
              <w:t xml:space="preserve">income asset class and therefore has the lowest risk of default. </w:t>
            </w:r>
            <w:r>
              <w:br/>
            </w:r>
            <w:r>
              <w:br/>
            </w:r>
            <w:r w:rsidRPr="00935615">
              <w:t>In the event of a credit rating downgrade, FIC will review whether the particular security should continue to be held within the Fund.</w:t>
            </w:r>
          </w:p>
        </w:tc>
      </w:tr>
      <w:tr w:rsidR="008D5ABD" w14:paraId="1685C8BD" w14:textId="77777777" w:rsidTr="00184F24">
        <w:trPr>
          <w:trHeight w:val="821"/>
        </w:trPr>
        <w:tc>
          <w:tcPr>
            <w:cnfStyle w:val="001000000000" w:firstRow="0" w:lastRow="0" w:firstColumn="1" w:lastColumn="0" w:oddVBand="0" w:evenVBand="0" w:oddHBand="0" w:evenHBand="0" w:firstRowFirstColumn="0" w:firstRowLastColumn="0" w:lastRowFirstColumn="0" w:lastRowLastColumn="0"/>
            <w:tcW w:w="4699" w:type="dxa"/>
          </w:tcPr>
          <w:p w14:paraId="3CD93F1A" w14:textId="534EC72D" w:rsidR="008D5ABD" w:rsidRPr="00756DB5" w:rsidRDefault="00756DB5" w:rsidP="00184F24">
            <w:pPr>
              <w:pStyle w:val="BodyText1"/>
              <w:spacing w:before="60" w:after="60"/>
              <w:rPr>
                <w:b w:val="0"/>
                <w:bCs w:val="0"/>
              </w:rPr>
            </w:pPr>
            <w:r w:rsidRPr="00756DB5">
              <w:rPr>
                <w:b w:val="0"/>
                <w:bCs w:val="0"/>
              </w:rPr>
              <w:t>Investments in securities with a low credit rating have a higher risk of default compared to a security with a higher credit rating.</w:t>
            </w:r>
          </w:p>
        </w:tc>
        <w:tc>
          <w:tcPr>
            <w:tcW w:w="4699" w:type="dxa"/>
          </w:tcPr>
          <w:p w14:paraId="75569B03" w14:textId="56B3C386" w:rsidR="008D5ABD" w:rsidRDefault="00756DB5" w:rsidP="00184F24">
            <w:pPr>
              <w:pStyle w:val="Tabledotpoints"/>
              <w:spacing w:before="60" w:after="60"/>
              <w:cnfStyle w:val="000000000000" w:firstRow="0" w:lastRow="0" w:firstColumn="0" w:lastColumn="0" w:oddVBand="0" w:evenVBand="0" w:oddHBand="0" w:evenHBand="0" w:firstRowFirstColumn="0" w:firstRowLastColumn="0" w:lastRowFirstColumn="0" w:lastRowLastColumn="0"/>
            </w:pPr>
            <w:r w:rsidRPr="00756DB5">
              <w:t>FIC seeks specialist fixed</w:t>
            </w:r>
            <w:r>
              <w:t>-</w:t>
            </w:r>
            <w:r w:rsidRPr="00756DB5">
              <w:t xml:space="preserve">income advice </w:t>
            </w:r>
            <w:proofErr w:type="gramStart"/>
            <w:r w:rsidRPr="00756DB5">
              <w:t>in regard to</w:t>
            </w:r>
            <w:proofErr w:type="gramEnd"/>
            <w:r w:rsidRPr="00756DB5">
              <w:t xml:space="preserve"> the credit rating and credit quality of securities prior to investing.</w:t>
            </w:r>
          </w:p>
        </w:tc>
      </w:tr>
    </w:tbl>
    <w:p w14:paraId="2572BDDF" w14:textId="77777777" w:rsidR="008D5ABD" w:rsidRDefault="008D5ABD" w:rsidP="008D5ABD">
      <w:pPr>
        <w:pStyle w:val="Heading2"/>
      </w:pPr>
      <w:r w:rsidRPr="00EF0E5F">
        <w:t>Liquidity risk</w:t>
      </w:r>
    </w:p>
    <w:tbl>
      <w:tblPr>
        <w:tblStyle w:val="PlainTable1"/>
        <w:tblW w:w="9396" w:type="dxa"/>
        <w:tblLook w:val="04A0" w:firstRow="1" w:lastRow="0" w:firstColumn="1" w:lastColumn="0" w:noHBand="0" w:noVBand="1"/>
      </w:tblPr>
      <w:tblGrid>
        <w:gridCol w:w="4698"/>
        <w:gridCol w:w="4698"/>
      </w:tblGrid>
      <w:tr w:rsidR="008D5ABD" w14:paraId="08E8C4DE" w14:textId="77777777" w:rsidTr="00184F24">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98" w:type="dxa"/>
          </w:tcPr>
          <w:p w14:paraId="3DEAEB3B" w14:textId="77777777" w:rsidR="008D5ABD" w:rsidRPr="00C77CB7" w:rsidRDefault="008D5ABD" w:rsidP="00184F24">
            <w:pPr>
              <w:pStyle w:val="BodyText1"/>
              <w:spacing w:before="60" w:after="60"/>
            </w:pPr>
            <w:r w:rsidRPr="00DA3827">
              <w:t>Description of risk</w:t>
            </w:r>
          </w:p>
        </w:tc>
        <w:tc>
          <w:tcPr>
            <w:tcW w:w="4698" w:type="dxa"/>
          </w:tcPr>
          <w:p w14:paraId="784EFA64" w14:textId="77777777" w:rsidR="008D5ABD" w:rsidRPr="00C77CB7" w:rsidRDefault="008D5ABD" w:rsidP="00184F24">
            <w:pPr>
              <w:pStyle w:val="Tabledotpoints"/>
              <w:numPr>
                <w:ilvl w:val="0"/>
                <w:numId w:val="0"/>
              </w:numPr>
              <w:spacing w:before="60" w:after="60"/>
              <w:ind w:left="181" w:hanging="181"/>
              <w:cnfStyle w:val="100000000000" w:firstRow="1" w:lastRow="0" w:firstColumn="0" w:lastColumn="0" w:oddVBand="0" w:evenVBand="0" w:oddHBand="0" w:evenHBand="0" w:firstRowFirstColumn="0" w:firstRowLastColumn="0" w:lastRowFirstColumn="0" w:lastRowLastColumn="0"/>
            </w:pPr>
            <w:r w:rsidRPr="00DA3827">
              <w:t>How does FIC manage this risk?</w:t>
            </w:r>
          </w:p>
        </w:tc>
      </w:tr>
      <w:tr w:rsidR="008D5ABD" w14:paraId="6F3BAF59" w14:textId="77777777" w:rsidTr="00184F2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698" w:type="dxa"/>
          </w:tcPr>
          <w:p w14:paraId="0EB900B9" w14:textId="546C4FB9" w:rsidR="008D5ABD" w:rsidRPr="00B30343" w:rsidRDefault="00B30343" w:rsidP="00184F24">
            <w:pPr>
              <w:pStyle w:val="BodyText1"/>
              <w:spacing w:before="60" w:after="60"/>
              <w:rPr>
                <w:b w:val="0"/>
                <w:bCs w:val="0"/>
              </w:rPr>
            </w:pPr>
            <w:r w:rsidRPr="00B30343">
              <w:rPr>
                <w:b w:val="0"/>
                <w:bCs w:val="0"/>
              </w:rPr>
              <w:t>Fixed</w:t>
            </w:r>
            <w:r>
              <w:rPr>
                <w:b w:val="0"/>
                <w:bCs w:val="0"/>
              </w:rPr>
              <w:t>-</w:t>
            </w:r>
            <w:r w:rsidRPr="00B30343">
              <w:rPr>
                <w:b w:val="0"/>
                <w:bCs w:val="0"/>
              </w:rPr>
              <w:t>interest securities are traded over the counter and therefore generally have less liquidity th</w:t>
            </w:r>
            <w:r>
              <w:rPr>
                <w:b w:val="0"/>
                <w:bCs w:val="0"/>
              </w:rPr>
              <w:t>a</w:t>
            </w:r>
            <w:r w:rsidRPr="00B30343">
              <w:rPr>
                <w:b w:val="0"/>
                <w:bCs w:val="0"/>
              </w:rPr>
              <w:t>n exchange</w:t>
            </w:r>
            <w:r>
              <w:rPr>
                <w:b w:val="0"/>
                <w:bCs w:val="0"/>
              </w:rPr>
              <w:t>-</w:t>
            </w:r>
            <w:r w:rsidRPr="00B30343">
              <w:rPr>
                <w:b w:val="0"/>
                <w:bCs w:val="0"/>
              </w:rPr>
              <w:t>traded investments such as listed bonds and shares.</w:t>
            </w:r>
          </w:p>
        </w:tc>
        <w:tc>
          <w:tcPr>
            <w:tcW w:w="4698" w:type="dxa"/>
          </w:tcPr>
          <w:p w14:paraId="3222E626" w14:textId="074E7911" w:rsidR="00B30343" w:rsidRPr="00B30343" w:rsidRDefault="00B30343"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rsidRPr="00B30343">
              <w:t>Fund liquidity is managed daily. The liquidity of an individual fixed</w:t>
            </w:r>
            <w:r>
              <w:t>-</w:t>
            </w:r>
            <w:r w:rsidRPr="00B30343">
              <w:t>income security is also considered prior to investing. The Fund’s authorised investments include some of the most highly liquid securities in the fixed</w:t>
            </w:r>
            <w:r>
              <w:t>-</w:t>
            </w:r>
            <w:r w:rsidRPr="00B30343">
              <w:t xml:space="preserve">income </w:t>
            </w:r>
            <w:r w:rsidRPr="00B30343">
              <w:lastRenderedPageBreak/>
              <w:t>asset class.</w:t>
            </w:r>
            <w:r>
              <w:br/>
            </w:r>
          </w:p>
          <w:p w14:paraId="0B4EF5E3" w14:textId="4B422549" w:rsidR="008D5ABD" w:rsidRPr="00C77CB7" w:rsidRDefault="00B30343"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rPr>
                <w:b/>
                <w:bCs/>
              </w:rPr>
            </w:pPr>
            <w:r w:rsidRPr="00B30343">
              <w:t>FIC regularly monitors the liquidity and market pricing of individual securities.</w:t>
            </w:r>
          </w:p>
        </w:tc>
      </w:tr>
    </w:tbl>
    <w:p w14:paraId="5FC2D7C6" w14:textId="77777777" w:rsidR="008D5ABD" w:rsidRDefault="008D5ABD" w:rsidP="008D5ABD">
      <w:pPr>
        <w:pStyle w:val="Heading1"/>
      </w:pPr>
      <w:r>
        <w:lastRenderedPageBreak/>
        <w:t>Australian shares risks</w:t>
      </w:r>
    </w:p>
    <w:p w14:paraId="50DCBD3E" w14:textId="77777777" w:rsidR="008D5ABD" w:rsidRDefault="008D5ABD" w:rsidP="007B1A7A">
      <w:pPr>
        <w:pStyle w:val="BodyText1"/>
      </w:pPr>
      <w:r w:rsidRPr="008F7559">
        <w:t xml:space="preserve">These risks apply to funds invested in </w:t>
      </w:r>
      <w:r>
        <w:t>CF</w:t>
      </w:r>
      <w:r>
        <w:noBreakHyphen/>
      </w:r>
      <w:r w:rsidRPr="008F7559">
        <w:t>3.</w:t>
      </w:r>
    </w:p>
    <w:p w14:paraId="3F54C618" w14:textId="77777777" w:rsidR="008D5ABD" w:rsidRDefault="008D5ABD" w:rsidP="008D5ABD">
      <w:pPr>
        <w:pStyle w:val="Heading2"/>
      </w:pPr>
      <w:r>
        <w:t>Equity market risk</w:t>
      </w:r>
    </w:p>
    <w:tbl>
      <w:tblPr>
        <w:tblStyle w:val="PlainTable1"/>
        <w:tblW w:w="9388" w:type="dxa"/>
        <w:tblLook w:val="04A0" w:firstRow="1" w:lastRow="0" w:firstColumn="1" w:lastColumn="0" w:noHBand="0" w:noVBand="1"/>
      </w:tblPr>
      <w:tblGrid>
        <w:gridCol w:w="4694"/>
        <w:gridCol w:w="4694"/>
      </w:tblGrid>
      <w:tr w:rsidR="008D5ABD" w14:paraId="330282C0" w14:textId="77777777" w:rsidTr="00184F24">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4694" w:type="dxa"/>
          </w:tcPr>
          <w:p w14:paraId="32406701" w14:textId="77777777" w:rsidR="008D5ABD" w:rsidRDefault="008D5ABD" w:rsidP="00184F24">
            <w:pPr>
              <w:spacing w:before="60" w:after="60"/>
            </w:pPr>
            <w:r w:rsidRPr="00DA3827">
              <w:rPr>
                <w:color w:val="auto"/>
              </w:rPr>
              <w:t>Description of risk</w:t>
            </w:r>
          </w:p>
        </w:tc>
        <w:tc>
          <w:tcPr>
            <w:tcW w:w="4694" w:type="dxa"/>
          </w:tcPr>
          <w:p w14:paraId="6BBC547F" w14:textId="77777777" w:rsidR="008D5ABD" w:rsidRDefault="008D5ABD" w:rsidP="00184F24">
            <w:pPr>
              <w:spacing w:before="60" w:after="60"/>
              <w:cnfStyle w:val="100000000000" w:firstRow="1" w:lastRow="0" w:firstColumn="0" w:lastColumn="0" w:oddVBand="0" w:evenVBand="0" w:oddHBand="0" w:evenHBand="0" w:firstRowFirstColumn="0" w:firstRowLastColumn="0" w:lastRowFirstColumn="0" w:lastRowLastColumn="0"/>
            </w:pPr>
            <w:r w:rsidRPr="00DA3827">
              <w:rPr>
                <w:color w:val="auto"/>
              </w:rPr>
              <w:t>How does FIC manage this risk?</w:t>
            </w:r>
          </w:p>
        </w:tc>
      </w:tr>
      <w:tr w:rsidR="008D5ABD" w14:paraId="64F9B71F" w14:textId="77777777" w:rsidTr="00184F24">
        <w:trPr>
          <w:cnfStyle w:val="000000100000" w:firstRow="0" w:lastRow="0" w:firstColumn="0" w:lastColumn="0" w:oddVBand="0" w:evenVBand="0" w:oddHBand="1" w:evenHBand="0" w:firstRowFirstColumn="0" w:firstRowLastColumn="0" w:lastRowFirstColumn="0" w:lastRowLastColumn="0"/>
          <w:trHeight w:val="3598"/>
        </w:trPr>
        <w:tc>
          <w:tcPr>
            <w:cnfStyle w:val="001000000000" w:firstRow="0" w:lastRow="0" w:firstColumn="1" w:lastColumn="0" w:oddVBand="0" w:evenVBand="0" w:oddHBand="0" w:evenHBand="0" w:firstRowFirstColumn="0" w:firstRowLastColumn="0" w:lastRowFirstColumn="0" w:lastRowLastColumn="0"/>
            <w:tcW w:w="4694" w:type="dxa"/>
          </w:tcPr>
          <w:p w14:paraId="5AB1413D" w14:textId="73674503" w:rsidR="008D5ABD" w:rsidRPr="00B30343" w:rsidRDefault="001F6634" w:rsidP="00184F24">
            <w:pPr>
              <w:pStyle w:val="BodyText1"/>
              <w:spacing w:before="60" w:after="60"/>
              <w:rPr>
                <w:b w:val="0"/>
                <w:bCs w:val="0"/>
              </w:rPr>
            </w:pPr>
            <w:r w:rsidRPr="001F6634">
              <w:rPr>
                <w:b w:val="0"/>
                <w:bCs w:val="0"/>
              </w:rPr>
              <w:t>The Australian share market is cyclical in nature</w:t>
            </w:r>
            <w:r>
              <w:rPr>
                <w:b w:val="0"/>
                <w:bCs w:val="0"/>
              </w:rPr>
              <w:t>,</w:t>
            </w:r>
            <w:r w:rsidRPr="001F6634">
              <w:rPr>
                <w:b w:val="0"/>
                <w:bCs w:val="0"/>
              </w:rPr>
              <w:t xml:space="preserve"> meaning that prices may </w:t>
            </w:r>
            <w:proofErr w:type="gramStart"/>
            <w:r w:rsidRPr="001F6634">
              <w:rPr>
                <w:b w:val="0"/>
                <w:bCs w:val="0"/>
              </w:rPr>
              <w:t>rise</w:t>
            </w:r>
            <w:proofErr w:type="gramEnd"/>
            <w:r w:rsidRPr="001F6634">
              <w:rPr>
                <w:b w:val="0"/>
                <w:bCs w:val="0"/>
              </w:rPr>
              <w:t xml:space="preserve"> and fall based upon domestic and global economic conditions. This means that it is possible to experience both positive and negative periods of performance as well as high volatility in returns. Investor sentiment may also impact on the performance of the share market.</w:t>
            </w:r>
          </w:p>
        </w:tc>
        <w:tc>
          <w:tcPr>
            <w:tcW w:w="4694" w:type="dxa"/>
          </w:tcPr>
          <w:p w14:paraId="5AC84CD1" w14:textId="728FD411" w:rsidR="001F6634" w:rsidRDefault="001F6634"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The Fund is actively managed relative to the benchmark. This approach differs to an index management style which aims to replicate the performance of the market. The active management approach means that there will be times when the Fund outperforms the market return and times when the Fund underperforms the market return.</w:t>
            </w:r>
            <w:r w:rsidR="009D6549">
              <w:br/>
            </w:r>
          </w:p>
          <w:p w14:paraId="46DB452D" w14:textId="7ECDD455" w:rsidR="008D5ABD" w:rsidRPr="00A718EF" w:rsidRDefault="001F6634"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t>FIC takes a long</w:t>
            </w:r>
            <w:r w:rsidR="009D6549">
              <w:t>-</w:t>
            </w:r>
            <w:r>
              <w:t xml:space="preserve">term investment time horizon when investing in this asset class </w:t>
            </w:r>
            <w:proofErr w:type="gramStart"/>
            <w:r>
              <w:t>in order to</w:t>
            </w:r>
            <w:proofErr w:type="gramEnd"/>
            <w:r>
              <w:t xml:space="preserve"> minimise the risk of permanent capital loss.</w:t>
            </w:r>
            <w:r w:rsidR="009D6549">
              <w:t xml:space="preserve"> </w:t>
            </w:r>
            <w:r>
              <w:t>This typically results in a buy</w:t>
            </w:r>
            <w:r w:rsidR="009D6549">
              <w:t>-</w:t>
            </w:r>
            <w:r>
              <w:t>and</w:t>
            </w:r>
            <w:r w:rsidR="009D6549">
              <w:t>-</w:t>
            </w:r>
            <w:r>
              <w:t>hold investment approach.</w:t>
            </w:r>
          </w:p>
        </w:tc>
      </w:tr>
      <w:tr w:rsidR="008D5ABD" w14:paraId="733D4F40" w14:textId="77777777" w:rsidTr="00184F24">
        <w:trPr>
          <w:trHeight w:val="2958"/>
        </w:trPr>
        <w:tc>
          <w:tcPr>
            <w:cnfStyle w:val="001000000000" w:firstRow="0" w:lastRow="0" w:firstColumn="1" w:lastColumn="0" w:oddVBand="0" w:evenVBand="0" w:oddHBand="0" w:evenHBand="0" w:firstRowFirstColumn="0" w:firstRowLastColumn="0" w:lastRowFirstColumn="0" w:lastRowLastColumn="0"/>
            <w:tcW w:w="4694" w:type="dxa"/>
          </w:tcPr>
          <w:p w14:paraId="5AF3100E" w14:textId="68C66D84" w:rsidR="008D5ABD" w:rsidRPr="00B30343" w:rsidRDefault="00ED61D3" w:rsidP="00184F24">
            <w:pPr>
              <w:pStyle w:val="BodyText1"/>
              <w:spacing w:before="60" w:after="60"/>
              <w:rPr>
                <w:b w:val="0"/>
                <w:bCs w:val="0"/>
              </w:rPr>
            </w:pPr>
            <w:r w:rsidRPr="00ED61D3">
              <w:rPr>
                <w:b w:val="0"/>
                <w:bCs w:val="0"/>
              </w:rPr>
              <w:t xml:space="preserve">The Australian </w:t>
            </w:r>
            <w:r>
              <w:rPr>
                <w:b w:val="0"/>
                <w:bCs w:val="0"/>
              </w:rPr>
              <w:t>s</w:t>
            </w:r>
            <w:r w:rsidRPr="00ED61D3">
              <w:rPr>
                <w:b w:val="0"/>
                <w:bCs w:val="0"/>
              </w:rPr>
              <w:t>hare market is a high</w:t>
            </w:r>
            <w:r>
              <w:rPr>
                <w:b w:val="0"/>
                <w:bCs w:val="0"/>
              </w:rPr>
              <w:t>-</w:t>
            </w:r>
            <w:r w:rsidRPr="00ED61D3">
              <w:rPr>
                <w:b w:val="0"/>
                <w:bCs w:val="0"/>
              </w:rPr>
              <w:t>risk and high</w:t>
            </w:r>
            <w:r>
              <w:rPr>
                <w:b w:val="0"/>
                <w:bCs w:val="0"/>
              </w:rPr>
              <w:t>-</w:t>
            </w:r>
            <w:r w:rsidRPr="00ED61D3">
              <w:rPr>
                <w:b w:val="0"/>
                <w:bCs w:val="0"/>
              </w:rPr>
              <w:t>return asset class, compared to the fixed</w:t>
            </w:r>
            <w:r>
              <w:rPr>
                <w:b w:val="0"/>
                <w:bCs w:val="0"/>
              </w:rPr>
              <w:t>-</w:t>
            </w:r>
            <w:r w:rsidRPr="00ED61D3">
              <w:rPr>
                <w:b w:val="0"/>
                <w:bCs w:val="0"/>
              </w:rPr>
              <w:t>income and cash asset class.</w:t>
            </w:r>
          </w:p>
        </w:tc>
        <w:tc>
          <w:tcPr>
            <w:tcW w:w="4694" w:type="dxa"/>
          </w:tcPr>
          <w:p w14:paraId="39BBC33A" w14:textId="0E8553C8" w:rsidR="008D5ABD" w:rsidRPr="000C3A4D" w:rsidRDefault="00ED61D3" w:rsidP="00184F24">
            <w:pPr>
              <w:pStyle w:val="Tabledotpoints"/>
              <w:spacing w:before="60" w:after="60"/>
              <w:cnfStyle w:val="000000000000" w:firstRow="0" w:lastRow="0" w:firstColumn="0" w:lastColumn="0" w:oddVBand="0" w:evenVBand="0" w:oddHBand="0" w:evenHBand="0" w:firstRowFirstColumn="0" w:firstRowLastColumn="0" w:lastRowFirstColumn="0" w:lastRowLastColumn="0"/>
            </w:pPr>
            <w:r w:rsidRPr="00ED61D3">
              <w:t>The equity asset class is specifically designed to meet the long</w:t>
            </w:r>
            <w:r>
              <w:t>-</w:t>
            </w:r>
            <w:r w:rsidRPr="00ED61D3">
              <w:t xml:space="preserve">term capital growth requirements of certain </w:t>
            </w:r>
            <w:r>
              <w:t>clients</w:t>
            </w:r>
            <w:r w:rsidRPr="00ED61D3">
              <w:t xml:space="preserve"> and to provide some protection against the risk of</w:t>
            </w:r>
            <w:r>
              <w:t xml:space="preserve"> </w:t>
            </w:r>
            <w:r w:rsidRPr="00ED61D3">
              <w:t xml:space="preserve">inflation. FIC has established specific criteria to determine a </w:t>
            </w:r>
            <w:r>
              <w:t>client</w:t>
            </w:r>
            <w:r w:rsidRPr="00ED61D3">
              <w:t xml:space="preserve">’s suitability to invest in the Fund. Where it is determined that a </w:t>
            </w:r>
            <w:r w:rsidR="007F7ABA">
              <w:t>client</w:t>
            </w:r>
            <w:r w:rsidRPr="00ED61D3">
              <w:t xml:space="preserve"> is eligible, only a portion of their total FIC assets is invested. The investment into CF-3 on behalf of </w:t>
            </w:r>
            <w:r w:rsidR="007F7ABA">
              <w:t>clients</w:t>
            </w:r>
            <w:r w:rsidRPr="00ED61D3">
              <w:t xml:space="preserve"> is made over a period of </w:t>
            </w:r>
            <w:r w:rsidR="00AE60D1">
              <w:t>6</w:t>
            </w:r>
            <w:r w:rsidRPr="00ED61D3">
              <w:t xml:space="preserve"> months </w:t>
            </w:r>
            <w:proofErr w:type="gramStart"/>
            <w:r w:rsidRPr="00ED61D3">
              <w:t>in order to</w:t>
            </w:r>
            <w:proofErr w:type="gramEnd"/>
            <w:r w:rsidRPr="00ED61D3">
              <w:t xml:space="preserve"> obtain a dollar cost average. Not all </w:t>
            </w:r>
            <w:r w:rsidR="007F7ABA">
              <w:t>clients</w:t>
            </w:r>
            <w:r w:rsidRPr="00ED61D3">
              <w:t xml:space="preserve"> are invested in the Fund.</w:t>
            </w:r>
          </w:p>
        </w:tc>
      </w:tr>
    </w:tbl>
    <w:p w14:paraId="67607202" w14:textId="77777777" w:rsidR="00534E98" w:rsidRDefault="00534E98" w:rsidP="008D5ABD">
      <w:pPr>
        <w:pStyle w:val="Heading2"/>
      </w:pPr>
    </w:p>
    <w:p w14:paraId="5198C384" w14:textId="77777777" w:rsidR="00534E98" w:rsidRDefault="00534E98">
      <w:pPr>
        <w:rPr>
          <w:b/>
          <w:bCs/>
          <w:sz w:val="28"/>
          <w:szCs w:val="26"/>
        </w:rPr>
      </w:pPr>
      <w:r>
        <w:br w:type="page"/>
      </w:r>
    </w:p>
    <w:p w14:paraId="12163986" w14:textId="7A029EF3" w:rsidR="008D5ABD" w:rsidRDefault="008D5ABD" w:rsidP="008D5ABD">
      <w:pPr>
        <w:pStyle w:val="Heading2"/>
      </w:pPr>
      <w:r>
        <w:lastRenderedPageBreak/>
        <w:t>Company-specific risk</w:t>
      </w:r>
    </w:p>
    <w:tbl>
      <w:tblPr>
        <w:tblStyle w:val="PlainTable1"/>
        <w:tblW w:w="9526" w:type="dxa"/>
        <w:tblLook w:val="04A0" w:firstRow="1" w:lastRow="0" w:firstColumn="1" w:lastColumn="0" w:noHBand="0" w:noVBand="1"/>
      </w:tblPr>
      <w:tblGrid>
        <w:gridCol w:w="4763"/>
        <w:gridCol w:w="4763"/>
      </w:tblGrid>
      <w:tr w:rsidR="008D5ABD" w14:paraId="6D4AEBEE" w14:textId="77777777" w:rsidTr="00184F24">
        <w:trPr>
          <w:cnfStyle w:val="100000000000" w:firstRow="1" w:lastRow="0" w:firstColumn="0" w:lastColumn="0" w:oddVBand="0" w:evenVBand="0" w:oddHBand="0" w:evenHBand="0"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4763" w:type="dxa"/>
          </w:tcPr>
          <w:p w14:paraId="79A9731D" w14:textId="77777777" w:rsidR="008D5ABD" w:rsidRPr="00E04F6F" w:rsidRDefault="008D5ABD" w:rsidP="00184F24">
            <w:pPr>
              <w:pStyle w:val="BodyText1"/>
              <w:spacing w:before="60" w:after="60"/>
            </w:pPr>
            <w:r w:rsidRPr="00DA3827">
              <w:t>Description of risk</w:t>
            </w:r>
          </w:p>
        </w:tc>
        <w:tc>
          <w:tcPr>
            <w:tcW w:w="4763" w:type="dxa"/>
          </w:tcPr>
          <w:p w14:paraId="74B20A88" w14:textId="77777777" w:rsidR="008D5ABD" w:rsidRPr="00E04F6F" w:rsidRDefault="008D5ABD" w:rsidP="00184F24">
            <w:pPr>
              <w:pStyle w:val="Tabledotpoints"/>
              <w:numPr>
                <w:ilvl w:val="0"/>
                <w:numId w:val="0"/>
              </w:numPr>
              <w:spacing w:before="60" w:after="60"/>
              <w:ind w:left="181" w:hanging="181"/>
              <w:cnfStyle w:val="100000000000" w:firstRow="1" w:lastRow="0" w:firstColumn="0" w:lastColumn="0" w:oddVBand="0" w:evenVBand="0" w:oddHBand="0" w:evenHBand="0" w:firstRowFirstColumn="0" w:firstRowLastColumn="0" w:lastRowFirstColumn="0" w:lastRowLastColumn="0"/>
            </w:pPr>
            <w:r w:rsidRPr="00DA3827">
              <w:t>How does FIC manage this risk?</w:t>
            </w:r>
          </w:p>
        </w:tc>
      </w:tr>
      <w:tr w:rsidR="008D5ABD" w14:paraId="5F85416A" w14:textId="77777777" w:rsidTr="00184F24">
        <w:trPr>
          <w:cnfStyle w:val="000000100000" w:firstRow="0" w:lastRow="0" w:firstColumn="0" w:lastColumn="0" w:oddVBand="0" w:evenVBand="0" w:oddHBand="1" w:evenHBand="0" w:firstRowFirstColumn="0" w:firstRowLastColumn="0" w:lastRowFirstColumn="0" w:lastRowLastColumn="0"/>
          <w:cantSplit/>
          <w:trHeight w:val="5791"/>
        </w:trPr>
        <w:tc>
          <w:tcPr>
            <w:cnfStyle w:val="001000000000" w:firstRow="0" w:lastRow="0" w:firstColumn="1" w:lastColumn="0" w:oddVBand="0" w:evenVBand="0" w:oddHBand="0" w:evenHBand="0" w:firstRowFirstColumn="0" w:firstRowLastColumn="0" w:lastRowFirstColumn="0" w:lastRowLastColumn="0"/>
            <w:tcW w:w="4763" w:type="dxa"/>
          </w:tcPr>
          <w:p w14:paraId="165EB168" w14:textId="36226CD3" w:rsidR="008D5ABD" w:rsidRPr="007F7ABA" w:rsidRDefault="009A3415" w:rsidP="00184F24">
            <w:pPr>
              <w:pStyle w:val="Tabledotpoints"/>
              <w:numPr>
                <w:ilvl w:val="0"/>
                <w:numId w:val="0"/>
              </w:numPr>
              <w:spacing w:before="60" w:after="60"/>
              <w:ind w:left="29"/>
              <w:rPr>
                <w:b w:val="0"/>
                <w:bCs w:val="0"/>
              </w:rPr>
            </w:pPr>
            <w:r w:rsidRPr="009A3415">
              <w:rPr>
                <w:b w:val="0"/>
                <w:bCs w:val="0"/>
              </w:rPr>
              <w:t>Factors that are specific to a company can have an impact on their share price and performance. Company</w:t>
            </w:r>
            <w:r w:rsidR="008A7499">
              <w:rPr>
                <w:b w:val="0"/>
                <w:bCs w:val="0"/>
              </w:rPr>
              <w:t>-</w:t>
            </w:r>
            <w:r w:rsidRPr="009A3415">
              <w:rPr>
                <w:b w:val="0"/>
                <w:bCs w:val="0"/>
              </w:rPr>
              <w:t>specific factors may include poor company management, the financial position of the company, increased competition within an industry, technological change within an industry, and changes in exchange rates for companies with international earnings.</w:t>
            </w:r>
          </w:p>
        </w:tc>
        <w:tc>
          <w:tcPr>
            <w:tcW w:w="4763" w:type="dxa"/>
          </w:tcPr>
          <w:p w14:paraId="2E5AF7E4" w14:textId="1BECBE09" w:rsidR="008A7499" w:rsidRPr="008A7499" w:rsidRDefault="008A7499"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rsidRPr="008A7499">
              <w:t>The Fund is actively managed relative to the benchmark. This means that the selection and weighting of shares in the Fund may differ to the composition of the benchmark, resulting in above or below market returns. This management approach differs to an index management style which aims to replicate the performance of the market.</w:t>
            </w:r>
            <w:r w:rsidR="00873D12">
              <w:br/>
            </w:r>
          </w:p>
          <w:p w14:paraId="72E4ACA2" w14:textId="1707394C" w:rsidR="008A7499" w:rsidRPr="008A7499" w:rsidRDefault="008A7499"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rsidRPr="008A7499">
              <w:t xml:space="preserve">FIC seeks the input of experienced equity specialists </w:t>
            </w:r>
            <w:proofErr w:type="gramStart"/>
            <w:r w:rsidRPr="008A7499">
              <w:t>in regard to</w:t>
            </w:r>
            <w:proofErr w:type="gramEnd"/>
            <w:r w:rsidRPr="008A7499">
              <w:t xml:space="preserve"> the establishment of a ‘model’ portfolio. The ‘model’ portfolio is primarily determined by fundamental bottom</w:t>
            </w:r>
            <w:r w:rsidR="00873D12">
              <w:t>-</w:t>
            </w:r>
            <w:r w:rsidRPr="008A7499">
              <w:t>up stock selection. Top</w:t>
            </w:r>
            <w:r w:rsidR="00873D12">
              <w:t>-</w:t>
            </w:r>
            <w:r w:rsidRPr="008A7499">
              <w:t>down macroeconomic factors are also considered, although this is a secondary input into the construction of the ‘model’ portfolio.</w:t>
            </w:r>
            <w:r w:rsidR="00873D12">
              <w:br/>
            </w:r>
          </w:p>
          <w:p w14:paraId="18C1D7EC" w14:textId="052D0499" w:rsidR="008D5ABD" w:rsidRPr="008754AA" w:rsidRDefault="008A7499"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rPr>
                <w:b/>
                <w:bCs/>
              </w:rPr>
            </w:pPr>
            <w:r w:rsidRPr="008A7499">
              <w:t xml:space="preserve">The Fund aims to be diversified by the number of holdings and by industry sector. There </w:t>
            </w:r>
            <w:proofErr w:type="gramStart"/>
            <w:r w:rsidRPr="008A7499">
              <w:t>are</w:t>
            </w:r>
            <w:proofErr w:type="gramEnd"/>
            <w:r w:rsidRPr="008A7499">
              <w:t xml:space="preserve"> also investment restrictions on the maximum permitted individual</w:t>
            </w:r>
            <w:r w:rsidR="00873D12">
              <w:t xml:space="preserve"> </w:t>
            </w:r>
            <w:r w:rsidRPr="008A7499">
              <w:t>position size within the Fund.</w:t>
            </w:r>
          </w:p>
        </w:tc>
      </w:tr>
    </w:tbl>
    <w:p w14:paraId="162B60B1" w14:textId="77777777" w:rsidR="008D5ABD" w:rsidRDefault="008D5ABD" w:rsidP="008D5ABD">
      <w:pPr>
        <w:pStyle w:val="Heading2"/>
      </w:pPr>
      <w:r>
        <w:t>Liquidity risk</w:t>
      </w:r>
    </w:p>
    <w:tbl>
      <w:tblPr>
        <w:tblStyle w:val="PlainTable1"/>
        <w:tblW w:w="9488" w:type="dxa"/>
        <w:tblLook w:val="04A0" w:firstRow="1" w:lastRow="0" w:firstColumn="1" w:lastColumn="0" w:noHBand="0" w:noVBand="1"/>
      </w:tblPr>
      <w:tblGrid>
        <w:gridCol w:w="4744"/>
        <w:gridCol w:w="4744"/>
      </w:tblGrid>
      <w:tr w:rsidR="008D5ABD" w14:paraId="36653636" w14:textId="77777777" w:rsidTr="00184F2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44" w:type="dxa"/>
          </w:tcPr>
          <w:p w14:paraId="19293055" w14:textId="77777777" w:rsidR="008D5ABD" w:rsidRPr="00E04F6F" w:rsidRDefault="008D5ABD" w:rsidP="00184F24">
            <w:pPr>
              <w:pStyle w:val="BodyText1"/>
              <w:spacing w:before="60" w:after="60"/>
            </w:pPr>
            <w:r w:rsidRPr="00DA3827">
              <w:t>Description of risk</w:t>
            </w:r>
          </w:p>
        </w:tc>
        <w:tc>
          <w:tcPr>
            <w:tcW w:w="4744" w:type="dxa"/>
          </w:tcPr>
          <w:p w14:paraId="5C2FF209" w14:textId="77777777" w:rsidR="008D5ABD" w:rsidRPr="00E04F6F" w:rsidRDefault="008D5ABD" w:rsidP="00184F24">
            <w:pPr>
              <w:pStyle w:val="Tabledotpoints"/>
              <w:numPr>
                <w:ilvl w:val="0"/>
                <w:numId w:val="0"/>
              </w:numPr>
              <w:spacing w:before="60" w:after="60"/>
              <w:ind w:left="181" w:hanging="181"/>
              <w:cnfStyle w:val="100000000000" w:firstRow="1" w:lastRow="0" w:firstColumn="0" w:lastColumn="0" w:oddVBand="0" w:evenVBand="0" w:oddHBand="0" w:evenHBand="0" w:firstRowFirstColumn="0" w:firstRowLastColumn="0" w:lastRowFirstColumn="0" w:lastRowLastColumn="0"/>
            </w:pPr>
            <w:r w:rsidRPr="00DA3827">
              <w:t>How does FIC manage this risk?</w:t>
            </w:r>
          </w:p>
        </w:tc>
      </w:tr>
      <w:tr w:rsidR="008D5ABD" w14:paraId="47BA7DF1" w14:textId="77777777" w:rsidTr="00184F24">
        <w:trPr>
          <w:cnfStyle w:val="000000100000" w:firstRow="0" w:lastRow="0" w:firstColumn="0" w:lastColumn="0" w:oddVBand="0" w:evenVBand="0" w:oddHBand="1" w:evenHBand="0" w:firstRowFirstColumn="0" w:firstRowLastColumn="0" w:lastRowFirstColumn="0" w:lastRowLastColumn="0"/>
          <w:trHeight w:val="2889"/>
        </w:trPr>
        <w:tc>
          <w:tcPr>
            <w:cnfStyle w:val="001000000000" w:firstRow="0" w:lastRow="0" w:firstColumn="1" w:lastColumn="0" w:oddVBand="0" w:evenVBand="0" w:oddHBand="0" w:evenHBand="0" w:firstRowFirstColumn="0" w:firstRowLastColumn="0" w:lastRowFirstColumn="0" w:lastRowLastColumn="0"/>
            <w:tcW w:w="4744" w:type="dxa"/>
          </w:tcPr>
          <w:p w14:paraId="1D320596" w14:textId="2424E675" w:rsidR="008D5ABD" w:rsidRPr="004827C6" w:rsidRDefault="004827C6" w:rsidP="00184F24">
            <w:pPr>
              <w:pStyle w:val="BodyText1"/>
              <w:spacing w:before="60" w:after="60"/>
              <w:rPr>
                <w:b w:val="0"/>
                <w:bCs w:val="0"/>
              </w:rPr>
            </w:pPr>
            <w:r w:rsidRPr="004827C6">
              <w:rPr>
                <w:b w:val="0"/>
                <w:bCs w:val="0"/>
              </w:rPr>
              <w:t>The Australian share market consists of a diverse range of companies which vary in size and liquidity from large multi</w:t>
            </w:r>
            <w:r>
              <w:rPr>
                <w:b w:val="0"/>
                <w:bCs w:val="0"/>
              </w:rPr>
              <w:t>-</w:t>
            </w:r>
            <w:r w:rsidRPr="004827C6">
              <w:rPr>
                <w:b w:val="0"/>
                <w:bCs w:val="0"/>
              </w:rPr>
              <w:t>divisional companies, to medium</w:t>
            </w:r>
            <w:r>
              <w:rPr>
                <w:b w:val="0"/>
                <w:bCs w:val="0"/>
              </w:rPr>
              <w:t>-</w:t>
            </w:r>
            <w:r w:rsidRPr="004827C6">
              <w:rPr>
                <w:b w:val="0"/>
                <w:bCs w:val="0"/>
              </w:rPr>
              <w:t>sized (</w:t>
            </w:r>
            <w:proofErr w:type="spellStart"/>
            <w:r w:rsidRPr="004827C6">
              <w:rPr>
                <w:b w:val="0"/>
                <w:bCs w:val="0"/>
              </w:rPr>
              <w:t>mid caps</w:t>
            </w:r>
            <w:proofErr w:type="spellEnd"/>
            <w:r w:rsidRPr="004827C6">
              <w:rPr>
                <w:b w:val="0"/>
                <w:bCs w:val="0"/>
              </w:rPr>
              <w:t>), small</w:t>
            </w:r>
            <w:r>
              <w:rPr>
                <w:b w:val="0"/>
                <w:bCs w:val="0"/>
              </w:rPr>
              <w:t>-</w:t>
            </w:r>
            <w:r w:rsidRPr="004827C6">
              <w:rPr>
                <w:b w:val="0"/>
                <w:bCs w:val="0"/>
              </w:rPr>
              <w:t xml:space="preserve">sized, and ‘start up’ companies. </w:t>
            </w:r>
            <w:proofErr w:type="gramStart"/>
            <w:r w:rsidRPr="004827C6">
              <w:rPr>
                <w:b w:val="0"/>
                <w:bCs w:val="0"/>
              </w:rPr>
              <w:t>Generally speaking</w:t>
            </w:r>
            <w:r>
              <w:rPr>
                <w:b w:val="0"/>
                <w:bCs w:val="0"/>
              </w:rPr>
              <w:t>,</w:t>
            </w:r>
            <w:r w:rsidRPr="004827C6">
              <w:rPr>
                <w:b w:val="0"/>
                <w:bCs w:val="0"/>
              </w:rPr>
              <w:t xml:space="preserve"> shares</w:t>
            </w:r>
            <w:proofErr w:type="gramEnd"/>
            <w:r w:rsidRPr="004827C6">
              <w:rPr>
                <w:b w:val="0"/>
                <w:bCs w:val="0"/>
              </w:rPr>
              <w:t xml:space="preserve"> in large companies are more liquid than shares in small companies. Liquidity refers to the ability to transact on market in a timely manner and at a price that closely</w:t>
            </w:r>
            <w:r>
              <w:rPr>
                <w:b w:val="0"/>
                <w:bCs w:val="0"/>
              </w:rPr>
              <w:t xml:space="preserve"> </w:t>
            </w:r>
            <w:r w:rsidRPr="004827C6">
              <w:rPr>
                <w:b w:val="0"/>
                <w:bCs w:val="0"/>
              </w:rPr>
              <w:t>reflects the most recently traded market price.</w:t>
            </w:r>
          </w:p>
        </w:tc>
        <w:tc>
          <w:tcPr>
            <w:tcW w:w="4744" w:type="dxa"/>
          </w:tcPr>
          <w:p w14:paraId="230D13BA" w14:textId="421701B9" w:rsidR="008D5ABD" w:rsidRPr="00F032E5" w:rsidRDefault="00F032E5" w:rsidP="00184F24">
            <w:pPr>
              <w:pStyle w:val="Tabledotpoints"/>
              <w:spacing w:before="60" w:after="60"/>
              <w:cnfStyle w:val="000000100000" w:firstRow="0" w:lastRow="0" w:firstColumn="0" w:lastColumn="0" w:oddVBand="0" w:evenVBand="0" w:oddHBand="1" w:evenHBand="0" w:firstRowFirstColumn="0" w:firstRowLastColumn="0" w:lastRowFirstColumn="0" w:lastRowLastColumn="0"/>
            </w:pPr>
            <w:r w:rsidRPr="00F032E5">
              <w:t>The Fund benchmark is the S&amp;P/ASX 50 Leaders Accumulation Index. This index consists of the 50 largest and most liquid stocks in the Australian share market. Within this benchmark, the Fund primarily invests in the top 20</w:t>
            </w:r>
            <w:r>
              <w:t xml:space="preserve"> to </w:t>
            </w:r>
            <w:r w:rsidRPr="00F032E5">
              <w:t xml:space="preserve">25 listed stocks and has scope to invest in companies within the S&amp;P/ASX 100 Index. This segment of the market </w:t>
            </w:r>
            <w:proofErr w:type="gramStart"/>
            <w:r w:rsidRPr="00F032E5">
              <w:t>is considered to be</w:t>
            </w:r>
            <w:proofErr w:type="gramEnd"/>
            <w:r w:rsidRPr="00F032E5">
              <w:t xml:space="preserve"> more liquid than smaller</w:t>
            </w:r>
            <w:r>
              <w:t>-</w:t>
            </w:r>
            <w:r w:rsidRPr="00F032E5">
              <w:t>sized companies which fall outside of the S&amp;P/ASX 100 Index.</w:t>
            </w:r>
          </w:p>
        </w:tc>
      </w:tr>
    </w:tbl>
    <w:p w14:paraId="587E694E" w14:textId="77777777" w:rsidR="008D5ABD" w:rsidRDefault="008D5ABD" w:rsidP="008D5ABD">
      <w:pPr>
        <w:pStyle w:val="Body"/>
      </w:pPr>
    </w:p>
    <w:p w14:paraId="049ABE9D" w14:textId="77777777" w:rsidR="008D5ABD" w:rsidRDefault="008D5ABD" w:rsidP="008D5ABD">
      <w:pPr>
        <w:pStyle w:val="Body"/>
      </w:pPr>
    </w:p>
    <w:p w14:paraId="1F39C4A4" w14:textId="04B7EDBB" w:rsidR="00A3289C" w:rsidRDefault="00A3289C" w:rsidP="00A94AF6">
      <w:pPr>
        <w:pStyle w:val="Body"/>
      </w:pPr>
    </w:p>
    <w:sectPr w:rsidR="00A3289C" w:rsidSect="001E7220">
      <w:headerReference w:type="default" r:id="rId12"/>
      <w:footerReference w:type="default" r:id="rId13"/>
      <w:headerReference w:type="first" r:id="rId14"/>
      <w:footerReference w:type="first" r:id="rId15"/>
      <w:type w:val="continuous"/>
      <w:pgSz w:w="11900" w:h="16840"/>
      <w:pgMar w:top="2693" w:right="1418" w:bottom="1559"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5F1B" w14:textId="77777777" w:rsidR="0023794B" w:rsidRDefault="0023794B" w:rsidP="00C83030">
      <w:r>
        <w:separator/>
      </w:r>
    </w:p>
  </w:endnote>
  <w:endnote w:type="continuationSeparator" w:id="0">
    <w:p w14:paraId="5CD11EA6" w14:textId="77777777" w:rsidR="0023794B" w:rsidRDefault="0023794B" w:rsidP="00C83030">
      <w:r>
        <w:continuationSeparator/>
      </w:r>
    </w:p>
  </w:endnote>
  <w:endnote w:type="continuationNotice" w:id="1">
    <w:p w14:paraId="36E77B0B" w14:textId="77777777" w:rsidR="0023794B" w:rsidRDefault="00237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23" w14:textId="4B5B3C09" w:rsidR="00EB57F1" w:rsidRPr="00EB57F1" w:rsidRDefault="007F3995" w:rsidP="00EB57F1">
    <w:pPr>
      <w:tabs>
        <w:tab w:val="right" w:pos="9072"/>
        <w:tab w:val="right" w:pos="9639"/>
      </w:tabs>
      <w:rPr>
        <w:sz w:val="20"/>
      </w:rPr>
    </w:pPr>
    <w:r>
      <w:rPr>
        <w:sz w:val="20"/>
      </w:rPr>
      <w:t>Investment Risks</w:t>
    </w:r>
    <w:r w:rsidR="00E22951">
      <w:rPr>
        <w:noProof/>
        <w:sz w:val="20"/>
        <w:lang w:eastAsia="en-AU"/>
      </w:rPr>
      <mc:AlternateContent>
        <mc:Choice Requires="wps">
          <w:drawing>
            <wp:anchor distT="0" distB="0" distL="114300" distR="114300" simplePos="0" relativeHeight="251658241" behindDoc="0" locked="1" layoutInCell="1" allowOverlap="0" wp14:anchorId="41EA3457" wp14:editId="6800653F">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D8865" id="Line 5"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2839953D" w:rsidR="00A3289C" w:rsidRDefault="00E2295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8240" behindDoc="0" locked="1" layoutInCell="1" allowOverlap="0" wp14:anchorId="7E986DA0" wp14:editId="7239014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86956866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60D05C" id="Line 3" o:spid="_x0000_s1026" alt="&quot;&quot;"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F25F" w14:textId="77777777" w:rsidR="0023794B" w:rsidRDefault="0023794B" w:rsidP="00C83030">
      <w:r>
        <w:separator/>
      </w:r>
    </w:p>
  </w:footnote>
  <w:footnote w:type="continuationSeparator" w:id="0">
    <w:p w14:paraId="4CB3CE0A" w14:textId="77777777" w:rsidR="0023794B" w:rsidRDefault="0023794B" w:rsidP="00C83030">
      <w:r>
        <w:continuationSeparator/>
      </w:r>
    </w:p>
  </w:footnote>
  <w:footnote w:type="continuationNotice" w:id="1">
    <w:p w14:paraId="38EDFC3A" w14:textId="77777777" w:rsidR="0023794B" w:rsidRDefault="00237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71C14B74" w:rsidR="00A3289C" w:rsidRDefault="00E22951">
    <w:r>
      <w:rPr>
        <w:noProof/>
        <w:lang w:eastAsia="en-AU"/>
      </w:rPr>
      <w:drawing>
        <wp:anchor distT="0" distB="0" distL="114300" distR="114300" simplePos="0" relativeHeight="251658242" behindDoc="1" locked="1" layoutInCell="1" allowOverlap="0" wp14:anchorId="5152C179" wp14:editId="3D3DBEC8">
          <wp:simplePos x="0" y="0"/>
          <wp:positionH relativeFrom="margin">
            <wp:posOffset>-370840</wp:posOffset>
          </wp:positionH>
          <wp:positionV relativeFrom="page">
            <wp:posOffset>186055</wp:posOffset>
          </wp:positionV>
          <wp:extent cx="6845300" cy="1435100"/>
          <wp:effectExtent l="0" t="0" r="0" b="0"/>
          <wp:wrapNone/>
          <wp:docPr id="591141344" name="Picture 591141344" descr="Header. Information Sheet &lt;insert title&g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lt;insert title&g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C3C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AC1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522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E2D8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E4AF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A7B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81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7ABA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29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8C9E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A23281"/>
    <w:multiLevelType w:val="hybridMultilevel"/>
    <w:tmpl w:val="114A91A8"/>
    <w:lvl w:ilvl="0" w:tplc="FD9265C0">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55393D57"/>
    <w:multiLevelType w:val="hybridMultilevel"/>
    <w:tmpl w:val="9048A586"/>
    <w:lvl w:ilvl="0" w:tplc="D908B858">
      <w:start w:val="1"/>
      <w:numFmt w:val="bullet"/>
      <w:pStyle w:val="Tabledotpoints"/>
      <w:lvlText w:val=""/>
      <w:lvlJc w:val="left"/>
      <w:pPr>
        <w:ind w:left="720" w:hanging="360"/>
      </w:pPr>
      <w:rPr>
        <w:rFonts w:ascii="Symbol" w:hAnsi="Symbol" w:hint="default"/>
      </w:rPr>
    </w:lvl>
    <w:lvl w:ilvl="1" w:tplc="7398E854">
      <w:start w:val="1"/>
      <w:numFmt w:val="bullet"/>
      <w:pStyle w:val="Tabledotpoints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682C45"/>
    <w:multiLevelType w:val="hybridMultilevel"/>
    <w:tmpl w:val="7FF4281E"/>
    <w:lvl w:ilvl="0" w:tplc="935A58F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2"/>
  </w:num>
  <w:num w:numId="12" w16cid:durableId="304241505">
    <w:abstractNumId w:val="11"/>
  </w:num>
  <w:num w:numId="13" w16cid:durableId="971596669">
    <w:abstractNumId w:val="10"/>
  </w:num>
  <w:num w:numId="14" w16cid:durableId="1855605680">
    <w:abstractNumId w:val="8"/>
  </w:num>
  <w:num w:numId="15" w16cid:durableId="1972244525">
    <w:abstractNumId w:val="3"/>
  </w:num>
  <w:num w:numId="16" w16cid:durableId="321979508">
    <w:abstractNumId w:val="2"/>
  </w:num>
  <w:num w:numId="17" w16cid:durableId="750007953">
    <w:abstractNumId w:val="1"/>
  </w:num>
  <w:num w:numId="18" w16cid:durableId="103554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attachedTemplate r:id="rId1"/>
  <w:documentProtection w:edit="readOnly" w:formatting="1" w:enforcement="1" w:cryptProviderType="rsaAES" w:cryptAlgorithmClass="hash" w:cryptAlgorithmType="typeAny" w:cryptAlgorithmSid="14" w:cryptSpinCount="100000" w:hash="qJUwmaOFbTc2Th8ek2C+SXr0qtuS3vRsG1X0i+4sfNdVy0AvME51z5WiXzC0ifo/8R6+c8NVlgjx6sUksb17GA==" w:salt="7YarhKXsS6q7mxzFVUEz2g=="/>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523E4"/>
    <w:rsid w:val="00056DE6"/>
    <w:rsid w:val="000818F8"/>
    <w:rsid w:val="0008577F"/>
    <w:rsid w:val="000928DE"/>
    <w:rsid w:val="000938C2"/>
    <w:rsid w:val="000A759B"/>
    <w:rsid w:val="000B0B67"/>
    <w:rsid w:val="000C77B7"/>
    <w:rsid w:val="000D655F"/>
    <w:rsid w:val="000F0184"/>
    <w:rsid w:val="000F3336"/>
    <w:rsid w:val="000F728D"/>
    <w:rsid w:val="001012E3"/>
    <w:rsid w:val="00106B34"/>
    <w:rsid w:val="00115C31"/>
    <w:rsid w:val="00132442"/>
    <w:rsid w:val="00136DD8"/>
    <w:rsid w:val="001443CD"/>
    <w:rsid w:val="00146A67"/>
    <w:rsid w:val="00155396"/>
    <w:rsid w:val="00167F11"/>
    <w:rsid w:val="0018045E"/>
    <w:rsid w:val="001827B8"/>
    <w:rsid w:val="0018320A"/>
    <w:rsid w:val="00184F24"/>
    <w:rsid w:val="00187656"/>
    <w:rsid w:val="00195A23"/>
    <w:rsid w:val="001D05BA"/>
    <w:rsid w:val="001E7220"/>
    <w:rsid w:val="001F6634"/>
    <w:rsid w:val="00200854"/>
    <w:rsid w:val="00203EDA"/>
    <w:rsid w:val="002040E0"/>
    <w:rsid w:val="00207C6E"/>
    <w:rsid w:val="00210A5F"/>
    <w:rsid w:val="00223386"/>
    <w:rsid w:val="002257F5"/>
    <w:rsid w:val="0023794B"/>
    <w:rsid w:val="00245D6A"/>
    <w:rsid w:val="0024656D"/>
    <w:rsid w:val="00246F4D"/>
    <w:rsid w:val="0024762C"/>
    <w:rsid w:val="00257ADF"/>
    <w:rsid w:val="002700D8"/>
    <w:rsid w:val="002946ED"/>
    <w:rsid w:val="002B782E"/>
    <w:rsid w:val="002C0DC6"/>
    <w:rsid w:val="002C4D91"/>
    <w:rsid w:val="002D46E4"/>
    <w:rsid w:val="002D655E"/>
    <w:rsid w:val="002E6691"/>
    <w:rsid w:val="00323E0A"/>
    <w:rsid w:val="00331F81"/>
    <w:rsid w:val="00356B5B"/>
    <w:rsid w:val="003676F0"/>
    <w:rsid w:val="0037315A"/>
    <w:rsid w:val="00397EE6"/>
    <w:rsid w:val="00397F86"/>
    <w:rsid w:val="003A0621"/>
    <w:rsid w:val="003A2019"/>
    <w:rsid w:val="003C1191"/>
    <w:rsid w:val="003C6E14"/>
    <w:rsid w:val="003D74B8"/>
    <w:rsid w:val="004067AF"/>
    <w:rsid w:val="00412440"/>
    <w:rsid w:val="004136A1"/>
    <w:rsid w:val="00417EFA"/>
    <w:rsid w:val="00434D2C"/>
    <w:rsid w:val="00447EC3"/>
    <w:rsid w:val="0045694E"/>
    <w:rsid w:val="00467AD6"/>
    <w:rsid w:val="00471351"/>
    <w:rsid w:val="004827C6"/>
    <w:rsid w:val="004A6782"/>
    <w:rsid w:val="004B06E1"/>
    <w:rsid w:val="004B3A39"/>
    <w:rsid w:val="004C5C18"/>
    <w:rsid w:val="004E5252"/>
    <w:rsid w:val="004F10C8"/>
    <w:rsid w:val="005076D5"/>
    <w:rsid w:val="00511AC9"/>
    <w:rsid w:val="00534E98"/>
    <w:rsid w:val="005522D3"/>
    <w:rsid w:val="005532EB"/>
    <w:rsid w:val="00554BE7"/>
    <w:rsid w:val="0056788E"/>
    <w:rsid w:val="00580314"/>
    <w:rsid w:val="0059687B"/>
    <w:rsid w:val="005A4E5A"/>
    <w:rsid w:val="005A53AB"/>
    <w:rsid w:val="005A56D6"/>
    <w:rsid w:val="005B0B48"/>
    <w:rsid w:val="005D54DC"/>
    <w:rsid w:val="005D7E89"/>
    <w:rsid w:val="005D7EA3"/>
    <w:rsid w:val="006021E9"/>
    <w:rsid w:val="006376BF"/>
    <w:rsid w:val="006404D4"/>
    <w:rsid w:val="00652AA9"/>
    <w:rsid w:val="006574EC"/>
    <w:rsid w:val="00672ACB"/>
    <w:rsid w:val="00680CF2"/>
    <w:rsid w:val="00681436"/>
    <w:rsid w:val="00693275"/>
    <w:rsid w:val="00694BD4"/>
    <w:rsid w:val="006B53F1"/>
    <w:rsid w:val="006B7AFF"/>
    <w:rsid w:val="006C297E"/>
    <w:rsid w:val="006D5442"/>
    <w:rsid w:val="006E5E5E"/>
    <w:rsid w:val="006F5AA5"/>
    <w:rsid w:val="00703088"/>
    <w:rsid w:val="00704B8B"/>
    <w:rsid w:val="00710119"/>
    <w:rsid w:val="00715FA2"/>
    <w:rsid w:val="00734277"/>
    <w:rsid w:val="007358BC"/>
    <w:rsid w:val="007557DE"/>
    <w:rsid w:val="00756DB5"/>
    <w:rsid w:val="00773B6C"/>
    <w:rsid w:val="00780D86"/>
    <w:rsid w:val="0078259B"/>
    <w:rsid w:val="00784394"/>
    <w:rsid w:val="00787514"/>
    <w:rsid w:val="00790344"/>
    <w:rsid w:val="0079346E"/>
    <w:rsid w:val="007A2950"/>
    <w:rsid w:val="007A6E41"/>
    <w:rsid w:val="007B1A7A"/>
    <w:rsid w:val="007D6E73"/>
    <w:rsid w:val="007D7DCA"/>
    <w:rsid w:val="007F2A92"/>
    <w:rsid w:val="007F3995"/>
    <w:rsid w:val="007F7ABA"/>
    <w:rsid w:val="00810325"/>
    <w:rsid w:val="0081470C"/>
    <w:rsid w:val="00833042"/>
    <w:rsid w:val="00842126"/>
    <w:rsid w:val="00871E9E"/>
    <w:rsid w:val="00873D12"/>
    <w:rsid w:val="008A7499"/>
    <w:rsid w:val="008B52E7"/>
    <w:rsid w:val="008B7599"/>
    <w:rsid w:val="008D5ABD"/>
    <w:rsid w:val="008D61C0"/>
    <w:rsid w:val="009010E6"/>
    <w:rsid w:val="009275B5"/>
    <w:rsid w:val="00935615"/>
    <w:rsid w:val="0094257B"/>
    <w:rsid w:val="00945639"/>
    <w:rsid w:val="00961C35"/>
    <w:rsid w:val="00971EF4"/>
    <w:rsid w:val="00980936"/>
    <w:rsid w:val="00981178"/>
    <w:rsid w:val="00993BC0"/>
    <w:rsid w:val="009A3415"/>
    <w:rsid w:val="009B69EF"/>
    <w:rsid w:val="009C0908"/>
    <w:rsid w:val="009C3296"/>
    <w:rsid w:val="009C3547"/>
    <w:rsid w:val="009D6549"/>
    <w:rsid w:val="009D6913"/>
    <w:rsid w:val="00A0072F"/>
    <w:rsid w:val="00A072AC"/>
    <w:rsid w:val="00A13707"/>
    <w:rsid w:val="00A146BB"/>
    <w:rsid w:val="00A302BB"/>
    <w:rsid w:val="00A3289C"/>
    <w:rsid w:val="00A34F19"/>
    <w:rsid w:val="00A43341"/>
    <w:rsid w:val="00A4741F"/>
    <w:rsid w:val="00A52A28"/>
    <w:rsid w:val="00A56688"/>
    <w:rsid w:val="00A61734"/>
    <w:rsid w:val="00A638B5"/>
    <w:rsid w:val="00A814AC"/>
    <w:rsid w:val="00A87B1D"/>
    <w:rsid w:val="00A93A95"/>
    <w:rsid w:val="00A94AF6"/>
    <w:rsid w:val="00AA10B4"/>
    <w:rsid w:val="00AC3414"/>
    <w:rsid w:val="00AE60D1"/>
    <w:rsid w:val="00AE6F03"/>
    <w:rsid w:val="00AF2DA7"/>
    <w:rsid w:val="00B047BE"/>
    <w:rsid w:val="00B04AFB"/>
    <w:rsid w:val="00B2168D"/>
    <w:rsid w:val="00B234C8"/>
    <w:rsid w:val="00B24F3A"/>
    <w:rsid w:val="00B30343"/>
    <w:rsid w:val="00B31D54"/>
    <w:rsid w:val="00B3303A"/>
    <w:rsid w:val="00B41F6C"/>
    <w:rsid w:val="00B643E6"/>
    <w:rsid w:val="00BA0DDA"/>
    <w:rsid w:val="00BA2164"/>
    <w:rsid w:val="00BB250D"/>
    <w:rsid w:val="00BB6235"/>
    <w:rsid w:val="00BE2038"/>
    <w:rsid w:val="00BE4102"/>
    <w:rsid w:val="00BF1195"/>
    <w:rsid w:val="00BF4B4D"/>
    <w:rsid w:val="00C111A8"/>
    <w:rsid w:val="00C14EB9"/>
    <w:rsid w:val="00C176A6"/>
    <w:rsid w:val="00C20E6F"/>
    <w:rsid w:val="00C260E2"/>
    <w:rsid w:val="00C327C0"/>
    <w:rsid w:val="00C444EE"/>
    <w:rsid w:val="00C679EE"/>
    <w:rsid w:val="00C72EAC"/>
    <w:rsid w:val="00C77769"/>
    <w:rsid w:val="00C821E7"/>
    <w:rsid w:val="00C83030"/>
    <w:rsid w:val="00C83874"/>
    <w:rsid w:val="00C85CA4"/>
    <w:rsid w:val="00C903C3"/>
    <w:rsid w:val="00CB09C8"/>
    <w:rsid w:val="00CB176E"/>
    <w:rsid w:val="00CB4078"/>
    <w:rsid w:val="00CC5911"/>
    <w:rsid w:val="00CC7772"/>
    <w:rsid w:val="00CD2552"/>
    <w:rsid w:val="00CD41F5"/>
    <w:rsid w:val="00CD6E47"/>
    <w:rsid w:val="00CE5525"/>
    <w:rsid w:val="00CF519D"/>
    <w:rsid w:val="00D1166C"/>
    <w:rsid w:val="00D256A7"/>
    <w:rsid w:val="00D64EF5"/>
    <w:rsid w:val="00D65C7F"/>
    <w:rsid w:val="00D70493"/>
    <w:rsid w:val="00D75BAE"/>
    <w:rsid w:val="00D83DE7"/>
    <w:rsid w:val="00D868DD"/>
    <w:rsid w:val="00D92D08"/>
    <w:rsid w:val="00DA5FFB"/>
    <w:rsid w:val="00DC0C99"/>
    <w:rsid w:val="00DC38C9"/>
    <w:rsid w:val="00DC5DBC"/>
    <w:rsid w:val="00E02C4E"/>
    <w:rsid w:val="00E22951"/>
    <w:rsid w:val="00E32118"/>
    <w:rsid w:val="00E32832"/>
    <w:rsid w:val="00E41CB8"/>
    <w:rsid w:val="00E4509F"/>
    <w:rsid w:val="00E56EF4"/>
    <w:rsid w:val="00E60D57"/>
    <w:rsid w:val="00E645A4"/>
    <w:rsid w:val="00E72E89"/>
    <w:rsid w:val="00E877D6"/>
    <w:rsid w:val="00EA46BC"/>
    <w:rsid w:val="00EB57F1"/>
    <w:rsid w:val="00ED61D3"/>
    <w:rsid w:val="00EE3CCB"/>
    <w:rsid w:val="00EE4133"/>
    <w:rsid w:val="00F032E5"/>
    <w:rsid w:val="00F10BF1"/>
    <w:rsid w:val="00F117C5"/>
    <w:rsid w:val="00F11F67"/>
    <w:rsid w:val="00F47A04"/>
    <w:rsid w:val="00F51E9A"/>
    <w:rsid w:val="00F568BF"/>
    <w:rsid w:val="00F63EA1"/>
    <w:rsid w:val="00F92C64"/>
    <w:rsid w:val="00FB1630"/>
    <w:rsid w:val="00FB40A4"/>
    <w:rsid w:val="00FD17FB"/>
    <w:rsid w:val="00FF461D"/>
    <w:rsid w:val="00FF64AC"/>
    <w:rsid w:val="70AAE776"/>
    <w:rsid w:val="785A2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33BDB60A-54C9-4953-94CA-4F287CA2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paragraph" w:styleId="Heading5">
    <w:name w:val="heading 5"/>
    <w:basedOn w:val="Normal"/>
    <w:next w:val="Normal"/>
    <w:link w:val="Heading5Char"/>
    <w:semiHidden/>
    <w:unhideWhenUsed/>
    <w:qFormat/>
    <w:locked/>
    <w:rsid w:val="006F5AA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6F5AA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6F5AA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locked/>
    <w:rsid w:val="006F5AA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F5AA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4B3A39"/>
    <w:rPr>
      <w:rFonts w:ascii="Arial" w:hAnsi="Arial"/>
      <w:b/>
      <w:bCs/>
      <w:color w:val="404040"/>
      <w:sz w:val="28"/>
      <w:szCs w:val="26"/>
      <w:lang w:eastAsia="en-US"/>
    </w:rPr>
  </w:style>
  <w:style w:type="character" w:customStyle="1" w:styleId="Heading3Char">
    <w:name w:val="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BodyText1">
    <w:name w:val="Body Text1"/>
    <w:basedOn w:val="Normal"/>
    <w:link w:val="BodytextChar"/>
    <w:qFormat/>
    <w:rsid w:val="007B1A7A"/>
    <w:rPr>
      <w:color w:val="000000"/>
    </w:rPr>
  </w:style>
  <w:style w:type="character" w:customStyle="1" w:styleId="BodytextChar">
    <w:name w:val="Body text Char"/>
    <w:link w:val="BodyText1"/>
    <w:rsid w:val="007B1A7A"/>
    <w:rPr>
      <w:rFonts w:ascii="Arial" w:hAnsi="Arial"/>
      <w:color w:val="000000"/>
      <w:sz w:val="22"/>
      <w:szCs w:val="24"/>
      <w:lang w:eastAsia="en-US"/>
    </w:rPr>
  </w:style>
  <w:style w:type="paragraph" w:customStyle="1" w:styleId="Dotpoints">
    <w:name w:val="Dot points"/>
    <w:basedOn w:val="Normal"/>
    <w:link w:val="DotpointsChar"/>
    <w:autoRedefine/>
    <w:qFormat/>
    <w:rsid w:val="006D5442"/>
    <w:pPr>
      <w:numPr>
        <w:numId w:val="11"/>
      </w:numPr>
      <w:ind w:left="714" w:hanging="357"/>
    </w:pPr>
    <w:rPr>
      <w:color w:val="000000"/>
    </w:rPr>
  </w:style>
  <w:style w:type="character" w:customStyle="1" w:styleId="DotpointsChar">
    <w:name w:val="Dot points Char"/>
    <w:link w:val="Dotpoints"/>
    <w:rsid w:val="006D5442"/>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unhideWhenUsed/>
    <w:locked/>
    <w:rsid w:val="008D5ABD"/>
    <w:rPr>
      <w:sz w:val="16"/>
      <w:szCs w:val="16"/>
    </w:rPr>
  </w:style>
  <w:style w:type="paragraph" w:styleId="CommentText">
    <w:name w:val="annotation text"/>
    <w:basedOn w:val="Normal"/>
    <w:link w:val="CommentTextChar"/>
    <w:uiPriority w:val="99"/>
    <w:unhideWhenUsed/>
    <w:locked/>
    <w:rsid w:val="008D5ABD"/>
    <w:pPr>
      <w:widowControl w:val="0"/>
      <w:autoSpaceDE w:val="0"/>
      <w:autoSpaceDN w:val="0"/>
    </w:pPr>
    <w:rPr>
      <w:rFonts w:eastAsia="Arial" w:cs="Arial"/>
      <w:color w:val="auto"/>
      <w:sz w:val="20"/>
      <w:szCs w:val="20"/>
      <w:lang w:eastAsia="en-AU" w:bidi="en-AU"/>
    </w:rPr>
  </w:style>
  <w:style w:type="character" w:customStyle="1" w:styleId="CommentTextChar">
    <w:name w:val="Comment Text Char"/>
    <w:basedOn w:val="DefaultParagraphFont"/>
    <w:link w:val="CommentText"/>
    <w:uiPriority w:val="99"/>
    <w:rsid w:val="008D5ABD"/>
    <w:rPr>
      <w:rFonts w:ascii="Arial" w:eastAsia="Arial" w:hAnsi="Arial" w:cs="Arial"/>
      <w:lang w:bidi="en-AU"/>
    </w:rPr>
  </w:style>
  <w:style w:type="paragraph" w:customStyle="1" w:styleId="Tabledotpoints">
    <w:name w:val="Table dot points"/>
    <w:basedOn w:val="BodyText1"/>
    <w:link w:val="TabledotpointsChar"/>
    <w:qFormat/>
    <w:rsid w:val="008D5ABD"/>
    <w:pPr>
      <w:numPr>
        <w:numId w:val="12"/>
      </w:numPr>
      <w:ind w:left="181" w:hanging="181"/>
    </w:pPr>
  </w:style>
  <w:style w:type="character" w:customStyle="1" w:styleId="TabledotpointsChar">
    <w:name w:val="Table dot points Char"/>
    <w:basedOn w:val="BodytextChar"/>
    <w:link w:val="Tabledotpoints"/>
    <w:rsid w:val="008D5ABD"/>
    <w:rPr>
      <w:rFonts w:ascii="Arial" w:hAnsi="Arial"/>
      <w:color w:val="000000"/>
      <w:sz w:val="22"/>
      <w:szCs w:val="24"/>
      <w:lang w:eastAsia="en-US"/>
    </w:rPr>
  </w:style>
  <w:style w:type="paragraph" w:customStyle="1" w:styleId="Tabledotpointslevel2">
    <w:name w:val="Table dot points level 2"/>
    <w:basedOn w:val="Tabledotpoints"/>
    <w:link w:val="Tabledotpointslevel2Char"/>
    <w:qFormat/>
    <w:rsid w:val="008D5ABD"/>
    <w:pPr>
      <w:numPr>
        <w:ilvl w:val="1"/>
      </w:numPr>
      <w:ind w:left="607" w:hanging="283"/>
    </w:pPr>
  </w:style>
  <w:style w:type="character" w:customStyle="1" w:styleId="Tabledotpointslevel2Char">
    <w:name w:val="Table dot points level 2 Char"/>
    <w:basedOn w:val="TabledotpointsChar"/>
    <w:link w:val="Tabledotpointslevel2"/>
    <w:rsid w:val="008D5ABD"/>
    <w:rPr>
      <w:rFonts w:ascii="Arial" w:hAnsi="Arial"/>
      <w:color w:val="000000"/>
      <w:sz w:val="22"/>
      <w:szCs w:val="24"/>
      <w:lang w:eastAsia="en-US"/>
    </w:rPr>
  </w:style>
  <w:style w:type="paragraph" w:styleId="CommentSubject">
    <w:name w:val="annotation subject"/>
    <w:basedOn w:val="CommentText"/>
    <w:next w:val="CommentText"/>
    <w:link w:val="CommentSubjectChar"/>
    <w:locked/>
    <w:rsid w:val="00FF461D"/>
    <w:pPr>
      <w:widowControl/>
      <w:autoSpaceDE/>
      <w:autoSpaceDN/>
    </w:pPr>
    <w:rPr>
      <w:rFonts w:eastAsia="Cambria" w:cs="Times New Roman"/>
      <w:b/>
      <w:bCs/>
      <w:color w:val="404040"/>
      <w:lang w:eastAsia="en-US" w:bidi="ar-SA"/>
    </w:rPr>
  </w:style>
  <w:style w:type="character" w:customStyle="1" w:styleId="CommentSubjectChar">
    <w:name w:val="Comment Subject Char"/>
    <w:basedOn w:val="CommentTextChar"/>
    <w:link w:val="CommentSubject"/>
    <w:rsid w:val="00FF461D"/>
    <w:rPr>
      <w:rFonts w:ascii="Arial" w:eastAsia="Arial" w:hAnsi="Arial" w:cs="Arial"/>
      <w:b/>
      <w:bCs/>
      <w:color w:val="404040"/>
      <w:lang w:eastAsia="en-US" w:bidi="en-AU"/>
    </w:rPr>
  </w:style>
  <w:style w:type="paragraph" w:styleId="BalloonText">
    <w:name w:val="Balloon Text"/>
    <w:basedOn w:val="Normal"/>
    <w:link w:val="BalloonTextChar"/>
    <w:locked/>
    <w:rsid w:val="006F5AA5"/>
    <w:rPr>
      <w:rFonts w:ascii="Segoe UI" w:hAnsi="Segoe UI" w:cs="Segoe UI"/>
      <w:sz w:val="18"/>
      <w:szCs w:val="18"/>
    </w:rPr>
  </w:style>
  <w:style w:type="character" w:customStyle="1" w:styleId="BalloonTextChar">
    <w:name w:val="Balloon Text Char"/>
    <w:basedOn w:val="DefaultParagraphFont"/>
    <w:link w:val="BalloonText"/>
    <w:rsid w:val="006F5AA5"/>
    <w:rPr>
      <w:rFonts w:ascii="Segoe UI" w:hAnsi="Segoe UI" w:cs="Segoe UI"/>
      <w:color w:val="404040"/>
      <w:sz w:val="18"/>
      <w:szCs w:val="18"/>
      <w:lang w:eastAsia="en-US"/>
    </w:rPr>
  </w:style>
  <w:style w:type="paragraph" w:styleId="Bibliography">
    <w:name w:val="Bibliography"/>
    <w:basedOn w:val="Normal"/>
    <w:next w:val="Normal"/>
    <w:uiPriority w:val="37"/>
    <w:semiHidden/>
    <w:unhideWhenUsed/>
    <w:rsid w:val="006F5AA5"/>
  </w:style>
  <w:style w:type="paragraph" w:styleId="BlockText">
    <w:name w:val="Block Text"/>
    <w:basedOn w:val="Normal"/>
    <w:locked/>
    <w:rsid w:val="006F5A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0"/>
    <w:locked/>
    <w:rsid w:val="006F5AA5"/>
    <w:pPr>
      <w:spacing w:after="120"/>
    </w:pPr>
  </w:style>
  <w:style w:type="character" w:customStyle="1" w:styleId="BodyTextChar0">
    <w:name w:val="Body Text Char"/>
    <w:basedOn w:val="DefaultParagraphFont"/>
    <w:link w:val="BodyText"/>
    <w:rsid w:val="006F5AA5"/>
    <w:rPr>
      <w:rFonts w:ascii="Arial" w:hAnsi="Arial"/>
      <w:color w:val="404040"/>
      <w:sz w:val="22"/>
      <w:szCs w:val="24"/>
      <w:lang w:eastAsia="en-US"/>
    </w:rPr>
  </w:style>
  <w:style w:type="paragraph" w:styleId="BodyText2">
    <w:name w:val="Body Text 2"/>
    <w:basedOn w:val="Normal"/>
    <w:link w:val="BodyText2Char"/>
    <w:locked/>
    <w:rsid w:val="006F5AA5"/>
    <w:pPr>
      <w:spacing w:after="120" w:line="480" w:lineRule="auto"/>
    </w:pPr>
  </w:style>
  <w:style w:type="character" w:customStyle="1" w:styleId="BodyText2Char">
    <w:name w:val="Body Text 2 Char"/>
    <w:basedOn w:val="DefaultParagraphFont"/>
    <w:link w:val="BodyText2"/>
    <w:rsid w:val="006F5AA5"/>
    <w:rPr>
      <w:rFonts w:ascii="Arial" w:hAnsi="Arial"/>
      <w:color w:val="404040"/>
      <w:sz w:val="22"/>
      <w:szCs w:val="24"/>
      <w:lang w:eastAsia="en-US"/>
    </w:rPr>
  </w:style>
  <w:style w:type="paragraph" w:styleId="BodyText3">
    <w:name w:val="Body Text 3"/>
    <w:basedOn w:val="Normal"/>
    <w:link w:val="BodyText3Char"/>
    <w:locked/>
    <w:rsid w:val="006F5AA5"/>
    <w:pPr>
      <w:spacing w:after="120"/>
    </w:pPr>
    <w:rPr>
      <w:sz w:val="16"/>
      <w:szCs w:val="16"/>
    </w:rPr>
  </w:style>
  <w:style w:type="character" w:customStyle="1" w:styleId="BodyText3Char">
    <w:name w:val="Body Text 3 Char"/>
    <w:basedOn w:val="DefaultParagraphFont"/>
    <w:link w:val="BodyText3"/>
    <w:rsid w:val="006F5AA5"/>
    <w:rPr>
      <w:rFonts w:ascii="Arial" w:hAnsi="Arial"/>
      <w:color w:val="404040"/>
      <w:sz w:val="16"/>
      <w:szCs w:val="16"/>
      <w:lang w:eastAsia="en-US"/>
    </w:rPr>
  </w:style>
  <w:style w:type="paragraph" w:styleId="BodyTextFirstIndent">
    <w:name w:val="Body Text First Indent"/>
    <w:basedOn w:val="BodyText"/>
    <w:link w:val="BodyTextFirstIndentChar"/>
    <w:locked/>
    <w:rsid w:val="006F5AA5"/>
    <w:pPr>
      <w:spacing w:after="0"/>
      <w:ind w:firstLine="360"/>
    </w:pPr>
  </w:style>
  <w:style w:type="character" w:customStyle="1" w:styleId="BodyTextFirstIndentChar">
    <w:name w:val="Body Text First Indent Char"/>
    <w:basedOn w:val="BodyTextChar0"/>
    <w:link w:val="BodyTextFirstIndent"/>
    <w:rsid w:val="006F5AA5"/>
    <w:rPr>
      <w:rFonts w:ascii="Arial" w:hAnsi="Arial"/>
      <w:color w:val="404040"/>
      <w:sz w:val="22"/>
      <w:szCs w:val="24"/>
      <w:lang w:eastAsia="en-US"/>
    </w:rPr>
  </w:style>
  <w:style w:type="paragraph" w:styleId="BodyTextIndent">
    <w:name w:val="Body Text Indent"/>
    <w:basedOn w:val="Normal"/>
    <w:link w:val="BodyTextIndentChar"/>
    <w:locked/>
    <w:rsid w:val="006F5AA5"/>
    <w:pPr>
      <w:spacing w:after="120"/>
      <w:ind w:left="283"/>
    </w:pPr>
  </w:style>
  <w:style w:type="character" w:customStyle="1" w:styleId="BodyTextIndentChar">
    <w:name w:val="Body Text Indent Char"/>
    <w:basedOn w:val="DefaultParagraphFont"/>
    <w:link w:val="BodyTextIndent"/>
    <w:rsid w:val="006F5AA5"/>
    <w:rPr>
      <w:rFonts w:ascii="Arial" w:hAnsi="Arial"/>
      <w:color w:val="404040"/>
      <w:sz w:val="22"/>
      <w:szCs w:val="24"/>
      <w:lang w:eastAsia="en-US"/>
    </w:rPr>
  </w:style>
  <w:style w:type="paragraph" w:styleId="BodyTextFirstIndent2">
    <w:name w:val="Body Text First Indent 2"/>
    <w:basedOn w:val="BodyTextIndent"/>
    <w:link w:val="BodyTextFirstIndent2Char"/>
    <w:locked/>
    <w:rsid w:val="006F5AA5"/>
    <w:pPr>
      <w:spacing w:after="0"/>
      <w:ind w:left="360" w:firstLine="360"/>
    </w:pPr>
  </w:style>
  <w:style w:type="character" w:customStyle="1" w:styleId="BodyTextFirstIndent2Char">
    <w:name w:val="Body Text First Indent 2 Char"/>
    <w:basedOn w:val="BodyTextIndentChar"/>
    <w:link w:val="BodyTextFirstIndent2"/>
    <w:rsid w:val="006F5AA5"/>
    <w:rPr>
      <w:rFonts w:ascii="Arial" w:hAnsi="Arial"/>
      <w:color w:val="404040"/>
      <w:sz w:val="22"/>
      <w:szCs w:val="24"/>
      <w:lang w:eastAsia="en-US"/>
    </w:rPr>
  </w:style>
  <w:style w:type="paragraph" w:styleId="BodyTextIndent2">
    <w:name w:val="Body Text Indent 2"/>
    <w:basedOn w:val="Normal"/>
    <w:link w:val="BodyTextIndent2Char"/>
    <w:locked/>
    <w:rsid w:val="006F5AA5"/>
    <w:pPr>
      <w:spacing w:after="120" w:line="480" w:lineRule="auto"/>
      <w:ind w:left="283"/>
    </w:pPr>
  </w:style>
  <w:style w:type="character" w:customStyle="1" w:styleId="BodyTextIndent2Char">
    <w:name w:val="Body Text Indent 2 Char"/>
    <w:basedOn w:val="DefaultParagraphFont"/>
    <w:link w:val="BodyTextIndent2"/>
    <w:rsid w:val="006F5AA5"/>
    <w:rPr>
      <w:rFonts w:ascii="Arial" w:hAnsi="Arial"/>
      <w:color w:val="404040"/>
      <w:sz w:val="22"/>
      <w:szCs w:val="24"/>
      <w:lang w:eastAsia="en-US"/>
    </w:rPr>
  </w:style>
  <w:style w:type="paragraph" w:styleId="BodyTextIndent3">
    <w:name w:val="Body Text Indent 3"/>
    <w:basedOn w:val="Normal"/>
    <w:link w:val="BodyTextIndent3Char"/>
    <w:locked/>
    <w:rsid w:val="006F5AA5"/>
    <w:pPr>
      <w:spacing w:after="120"/>
      <w:ind w:left="283"/>
    </w:pPr>
    <w:rPr>
      <w:sz w:val="16"/>
      <w:szCs w:val="16"/>
    </w:rPr>
  </w:style>
  <w:style w:type="character" w:customStyle="1" w:styleId="BodyTextIndent3Char">
    <w:name w:val="Body Text Indent 3 Char"/>
    <w:basedOn w:val="DefaultParagraphFont"/>
    <w:link w:val="BodyTextIndent3"/>
    <w:rsid w:val="006F5AA5"/>
    <w:rPr>
      <w:rFonts w:ascii="Arial" w:hAnsi="Arial"/>
      <w:color w:val="404040"/>
      <w:sz w:val="16"/>
      <w:szCs w:val="16"/>
      <w:lang w:eastAsia="en-US"/>
    </w:rPr>
  </w:style>
  <w:style w:type="paragraph" w:styleId="Caption">
    <w:name w:val="caption"/>
    <w:basedOn w:val="Normal"/>
    <w:next w:val="Normal"/>
    <w:semiHidden/>
    <w:unhideWhenUsed/>
    <w:qFormat/>
    <w:locked/>
    <w:rsid w:val="006F5AA5"/>
    <w:pPr>
      <w:spacing w:after="200"/>
    </w:pPr>
    <w:rPr>
      <w:i/>
      <w:iCs/>
      <w:color w:val="44546A" w:themeColor="text2"/>
      <w:sz w:val="18"/>
      <w:szCs w:val="18"/>
    </w:rPr>
  </w:style>
  <w:style w:type="paragraph" w:styleId="Closing">
    <w:name w:val="Closing"/>
    <w:basedOn w:val="Normal"/>
    <w:link w:val="ClosingChar"/>
    <w:locked/>
    <w:rsid w:val="006F5AA5"/>
    <w:pPr>
      <w:ind w:left="4252"/>
    </w:pPr>
  </w:style>
  <w:style w:type="character" w:customStyle="1" w:styleId="ClosingChar">
    <w:name w:val="Closing Char"/>
    <w:basedOn w:val="DefaultParagraphFont"/>
    <w:link w:val="Closing"/>
    <w:rsid w:val="006F5AA5"/>
    <w:rPr>
      <w:rFonts w:ascii="Arial" w:hAnsi="Arial"/>
      <w:color w:val="404040"/>
      <w:sz w:val="22"/>
      <w:szCs w:val="24"/>
      <w:lang w:eastAsia="en-US"/>
    </w:rPr>
  </w:style>
  <w:style w:type="paragraph" w:styleId="Date">
    <w:name w:val="Date"/>
    <w:basedOn w:val="Normal"/>
    <w:next w:val="Normal"/>
    <w:link w:val="DateChar"/>
    <w:locked/>
    <w:rsid w:val="006F5AA5"/>
  </w:style>
  <w:style w:type="character" w:customStyle="1" w:styleId="DateChar">
    <w:name w:val="Date Char"/>
    <w:basedOn w:val="DefaultParagraphFont"/>
    <w:link w:val="Date"/>
    <w:rsid w:val="006F5AA5"/>
    <w:rPr>
      <w:rFonts w:ascii="Arial" w:hAnsi="Arial"/>
      <w:color w:val="404040"/>
      <w:sz w:val="22"/>
      <w:szCs w:val="24"/>
      <w:lang w:eastAsia="en-US"/>
    </w:rPr>
  </w:style>
  <w:style w:type="paragraph" w:styleId="DocumentMap">
    <w:name w:val="Document Map"/>
    <w:basedOn w:val="Normal"/>
    <w:link w:val="DocumentMapChar"/>
    <w:locked/>
    <w:rsid w:val="006F5AA5"/>
    <w:rPr>
      <w:rFonts w:ascii="Segoe UI" w:hAnsi="Segoe UI" w:cs="Segoe UI"/>
      <w:sz w:val="16"/>
      <w:szCs w:val="16"/>
    </w:rPr>
  </w:style>
  <w:style w:type="character" w:customStyle="1" w:styleId="DocumentMapChar">
    <w:name w:val="Document Map Char"/>
    <w:basedOn w:val="DefaultParagraphFont"/>
    <w:link w:val="DocumentMap"/>
    <w:rsid w:val="006F5AA5"/>
    <w:rPr>
      <w:rFonts w:ascii="Segoe UI" w:hAnsi="Segoe UI" w:cs="Segoe UI"/>
      <w:color w:val="404040"/>
      <w:sz w:val="16"/>
      <w:szCs w:val="16"/>
      <w:lang w:eastAsia="en-US"/>
    </w:rPr>
  </w:style>
  <w:style w:type="paragraph" w:styleId="E-mailSignature">
    <w:name w:val="E-mail Signature"/>
    <w:basedOn w:val="Normal"/>
    <w:link w:val="E-mailSignatureChar"/>
    <w:locked/>
    <w:rsid w:val="006F5AA5"/>
  </w:style>
  <w:style w:type="character" w:customStyle="1" w:styleId="E-mailSignatureChar">
    <w:name w:val="E-mail Signature Char"/>
    <w:basedOn w:val="DefaultParagraphFont"/>
    <w:link w:val="E-mailSignature"/>
    <w:rsid w:val="006F5AA5"/>
    <w:rPr>
      <w:rFonts w:ascii="Arial" w:hAnsi="Arial"/>
      <w:color w:val="404040"/>
      <w:sz w:val="22"/>
      <w:szCs w:val="24"/>
      <w:lang w:eastAsia="en-US"/>
    </w:rPr>
  </w:style>
  <w:style w:type="paragraph" w:styleId="EndnoteText">
    <w:name w:val="endnote text"/>
    <w:basedOn w:val="Normal"/>
    <w:link w:val="EndnoteTextChar"/>
    <w:locked/>
    <w:rsid w:val="006F5AA5"/>
    <w:rPr>
      <w:sz w:val="20"/>
      <w:szCs w:val="20"/>
    </w:rPr>
  </w:style>
  <w:style w:type="character" w:customStyle="1" w:styleId="EndnoteTextChar">
    <w:name w:val="Endnote Text Char"/>
    <w:basedOn w:val="DefaultParagraphFont"/>
    <w:link w:val="EndnoteText"/>
    <w:rsid w:val="006F5AA5"/>
    <w:rPr>
      <w:rFonts w:ascii="Arial" w:hAnsi="Arial"/>
      <w:color w:val="404040"/>
      <w:lang w:eastAsia="en-US"/>
    </w:rPr>
  </w:style>
  <w:style w:type="paragraph" w:styleId="EnvelopeAddress">
    <w:name w:val="envelope address"/>
    <w:basedOn w:val="Normal"/>
    <w:locked/>
    <w:rsid w:val="006F5AA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6F5AA5"/>
    <w:rPr>
      <w:rFonts w:asciiTheme="majorHAnsi" w:eastAsiaTheme="majorEastAsia" w:hAnsiTheme="majorHAnsi" w:cstheme="majorBidi"/>
      <w:sz w:val="20"/>
      <w:szCs w:val="20"/>
    </w:rPr>
  </w:style>
  <w:style w:type="paragraph" w:styleId="FootnoteText">
    <w:name w:val="footnote text"/>
    <w:basedOn w:val="Normal"/>
    <w:link w:val="FootnoteTextChar"/>
    <w:locked/>
    <w:rsid w:val="006F5AA5"/>
    <w:rPr>
      <w:sz w:val="20"/>
      <w:szCs w:val="20"/>
    </w:rPr>
  </w:style>
  <w:style w:type="character" w:customStyle="1" w:styleId="FootnoteTextChar">
    <w:name w:val="Footnote Text Char"/>
    <w:basedOn w:val="DefaultParagraphFont"/>
    <w:link w:val="FootnoteText"/>
    <w:rsid w:val="006F5AA5"/>
    <w:rPr>
      <w:rFonts w:ascii="Arial" w:hAnsi="Arial"/>
      <w:color w:val="404040"/>
      <w:lang w:eastAsia="en-US"/>
    </w:rPr>
  </w:style>
  <w:style w:type="character" w:customStyle="1" w:styleId="Heading5Char">
    <w:name w:val="Heading 5 Char"/>
    <w:basedOn w:val="DefaultParagraphFont"/>
    <w:link w:val="Heading5"/>
    <w:semiHidden/>
    <w:rsid w:val="006F5AA5"/>
    <w:rPr>
      <w:rFonts w:asciiTheme="majorHAnsi" w:eastAsiaTheme="majorEastAsia" w:hAnsiTheme="majorHAnsi" w:cstheme="majorBidi"/>
      <w:color w:val="2F5496" w:themeColor="accent1" w:themeShade="BF"/>
      <w:sz w:val="22"/>
      <w:szCs w:val="24"/>
      <w:lang w:eastAsia="en-US"/>
    </w:rPr>
  </w:style>
  <w:style w:type="character" w:customStyle="1" w:styleId="Heading6Char">
    <w:name w:val="Heading 6 Char"/>
    <w:basedOn w:val="DefaultParagraphFont"/>
    <w:link w:val="Heading6"/>
    <w:semiHidden/>
    <w:rsid w:val="006F5AA5"/>
    <w:rPr>
      <w:rFonts w:asciiTheme="majorHAnsi" w:eastAsiaTheme="majorEastAsia" w:hAnsiTheme="majorHAnsi" w:cstheme="majorBidi"/>
      <w:color w:val="1F3763" w:themeColor="accent1" w:themeShade="7F"/>
      <w:sz w:val="22"/>
      <w:szCs w:val="24"/>
      <w:lang w:eastAsia="en-US"/>
    </w:rPr>
  </w:style>
  <w:style w:type="character" w:customStyle="1" w:styleId="Heading7Char">
    <w:name w:val="Heading 7 Char"/>
    <w:basedOn w:val="DefaultParagraphFont"/>
    <w:link w:val="Heading7"/>
    <w:semiHidden/>
    <w:rsid w:val="006F5AA5"/>
    <w:rPr>
      <w:rFonts w:asciiTheme="majorHAnsi" w:eastAsiaTheme="majorEastAsia" w:hAnsiTheme="majorHAnsi" w:cstheme="majorBidi"/>
      <w:i/>
      <w:iCs/>
      <w:color w:val="1F3763" w:themeColor="accent1" w:themeShade="7F"/>
      <w:sz w:val="22"/>
      <w:szCs w:val="24"/>
      <w:lang w:eastAsia="en-US"/>
    </w:rPr>
  </w:style>
  <w:style w:type="character" w:customStyle="1" w:styleId="Heading8Char">
    <w:name w:val="Heading 8 Char"/>
    <w:basedOn w:val="DefaultParagraphFont"/>
    <w:link w:val="Heading8"/>
    <w:semiHidden/>
    <w:rsid w:val="006F5AA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F5AA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locked/>
    <w:rsid w:val="006F5AA5"/>
    <w:rPr>
      <w:i/>
      <w:iCs/>
    </w:rPr>
  </w:style>
  <w:style w:type="character" w:customStyle="1" w:styleId="HTMLAddressChar">
    <w:name w:val="HTML Address Char"/>
    <w:basedOn w:val="DefaultParagraphFont"/>
    <w:link w:val="HTMLAddress"/>
    <w:rsid w:val="006F5AA5"/>
    <w:rPr>
      <w:rFonts w:ascii="Arial" w:hAnsi="Arial"/>
      <w:i/>
      <w:iCs/>
      <w:color w:val="404040"/>
      <w:sz w:val="22"/>
      <w:szCs w:val="24"/>
      <w:lang w:eastAsia="en-US"/>
    </w:rPr>
  </w:style>
  <w:style w:type="paragraph" w:styleId="HTMLPreformatted">
    <w:name w:val="HTML Preformatted"/>
    <w:basedOn w:val="Normal"/>
    <w:link w:val="HTMLPreformattedChar"/>
    <w:locked/>
    <w:rsid w:val="006F5AA5"/>
    <w:rPr>
      <w:rFonts w:ascii="Consolas" w:hAnsi="Consolas"/>
      <w:sz w:val="20"/>
      <w:szCs w:val="20"/>
    </w:rPr>
  </w:style>
  <w:style w:type="character" w:customStyle="1" w:styleId="HTMLPreformattedChar">
    <w:name w:val="HTML Preformatted Char"/>
    <w:basedOn w:val="DefaultParagraphFont"/>
    <w:link w:val="HTMLPreformatted"/>
    <w:rsid w:val="006F5AA5"/>
    <w:rPr>
      <w:rFonts w:ascii="Consolas" w:hAnsi="Consolas"/>
      <w:color w:val="404040"/>
      <w:lang w:eastAsia="en-US"/>
    </w:rPr>
  </w:style>
  <w:style w:type="paragraph" w:styleId="Index1">
    <w:name w:val="index 1"/>
    <w:basedOn w:val="Normal"/>
    <w:next w:val="Normal"/>
    <w:autoRedefine/>
    <w:locked/>
    <w:rsid w:val="006F5AA5"/>
    <w:pPr>
      <w:ind w:left="220" w:hanging="220"/>
    </w:pPr>
  </w:style>
  <w:style w:type="paragraph" w:styleId="Index2">
    <w:name w:val="index 2"/>
    <w:basedOn w:val="Normal"/>
    <w:next w:val="Normal"/>
    <w:autoRedefine/>
    <w:locked/>
    <w:rsid w:val="006F5AA5"/>
    <w:pPr>
      <w:ind w:left="440" w:hanging="220"/>
    </w:pPr>
  </w:style>
  <w:style w:type="paragraph" w:styleId="Index3">
    <w:name w:val="index 3"/>
    <w:basedOn w:val="Normal"/>
    <w:next w:val="Normal"/>
    <w:autoRedefine/>
    <w:locked/>
    <w:rsid w:val="006F5AA5"/>
    <w:pPr>
      <w:ind w:left="660" w:hanging="220"/>
    </w:pPr>
  </w:style>
  <w:style w:type="paragraph" w:styleId="Index4">
    <w:name w:val="index 4"/>
    <w:basedOn w:val="Normal"/>
    <w:next w:val="Normal"/>
    <w:autoRedefine/>
    <w:locked/>
    <w:rsid w:val="006F5AA5"/>
    <w:pPr>
      <w:ind w:left="880" w:hanging="220"/>
    </w:pPr>
  </w:style>
  <w:style w:type="paragraph" w:styleId="Index5">
    <w:name w:val="index 5"/>
    <w:basedOn w:val="Normal"/>
    <w:next w:val="Normal"/>
    <w:autoRedefine/>
    <w:locked/>
    <w:rsid w:val="006F5AA5"/>
    <w:pPr>
      <w:ind w:left="1100" w:hanging="220"/>
    </w:pPr>
  </w:style>
  <w:style w:type="paragraph" w:styleId="Index6">
    <w:name w:val="index 6"/>
    <w:basedOn w:val="Normal"/>
    <w:next w:val="Normal"/>
    <w:autoRedefine/>
    <w:locked/>
    <w:rsid w:val="006F5AA5"/>
    <w:pPr>
      <w:ind w:left="1320" w:hanging="220"/>
    </w:pPr>
  </w:style>
  <w:style w:type="paragraph" w:styleId="Index7">
    <w:name w:val="index 7"/>
    <w:basedOn w:val="Normal"/>
    <w:next w:val="Normal"/>
    <w:autoRedefine/>
    <w:locked/>
    <w:rsid w:val="006F5AA5"/>
    <w:pPr>
      <w:ind w:left="1540" w:hanging="220"/>
    </w:pPr>
  </w:style>
  <w:style w:type="paragraph" w:styleId="Index8">
    <w:name w:val="index 8"/>
    <w:basedOn w:val="Normal"/>
    <w:next w:val="Normal"/>
    <w:autoRedefine/>
    <w:locked/>
    <w:rsid w:val="006F5AA5"/>
    <w:pPr>
      <w:ind w:left="1760" w:hanging="220"/>
    </w:pPr>
  </w:style>
  <w:style w:type="paragraph" w:styleId="Index9">
    <w:name w:val="index 9"/>
    <w:basedOn w:val="Normal"/>
    <w:next w:val="Normal"/>
    <w:autoRedefine/>
    <w:locked/>
    <w:rsid w:val="006F5AA5"/>
    <w:pPr>
      <w:ind w:left="1980" w:hanging="220"/>
    </w:pPr>
  </w:style>
  <w:style w:type="paragraph" w:styleId="IndexHeading">
    <w:name w:val="index heading"/>
    <w:basedOn w:val="Normal"/>
    <w:next w:val="Index1"/>
    <w:locked/>
    <w:rsid w:val="006F5A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5A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5AA5"/>
    <w:rPr>
      <w:rFonts w:ascii="Arial" w:hAnsi="Arial"/>
      <w:i/>
      <w:iCs/>
      <w:color w:val="4472C4" w:themeColor="accent1"/>
      <w:sz w:val="22"/>
      <w:szCs w:val="24"/>
      <w:lang w:eastAsia="en-US"/>
    </w:rPr>
  </w:style>
  <w:style w:type="paragraph" w:styleId="List">
    <w:name w:val="List"/>
    <w:basedOn w:val="Normal"/>
    <w:locked/>
    <w:rsid w:val="006F5AA5"/>
    <w:pPr>
      <w:ind w:left="283" w:hanging="283"/>
      <w:contextualSpacing/>
    </w:pPr>
  </w:style>
  <w:style w:type="paragraph" w:styleId="List2">
    <w:name w:val="List 2"/>
    <w:basedOn w:val="Normal"/>
    <w:locked/>
    <w:rsid w:val="006F5AA5"/>
    <w:pPr>
      <w:ind w:left="566" w:hanging="283"/>
      <w:contextualSpacing/>
    </w:pPr>
  </w:style>
  <w:style w:type="paragraph" w:styleId="List3">
    <w:name w:val="List 3"/>
    <w:basedOn w:val="Normal"/>
    <w:locked/>
    <w:rsid w:val="006F5AA5"/>
    <w:pPr>
      <w:ind w:left="849" w:hanging="283"/>
      <w:contextualSpacing/>
    </w:pPr>
  </w:style>
  <w:style w:type="paragraph" w:styleId="List4">
    <w:name w:val="List 4"/>
    <w:basedOn w:val="Normal"/>
    <w:locked/>
    <w:rsid w:val="006F5AA5"/>
    <w:pPr>
      <w:ind w:left="1132" w:hanging="283"/>
      <w:contextualSpacing/>
    </w:pPr>
  </w:style>
  <w:style w:type="paragraph" w:styleId="List5">
    <w:name w:val="List 5"/>
    <w:basedOn w:val="Normal"/>
    <w:locked/>
    <w:rsid w:val="006F5AA5"/>
    <w:pPr>
      <w:ind w:left="1415" w:hanging="283"/>
      <w:contextualSpacing/>
    </w:pPr>
  </w:style>
  <w:style w:type="paragraph" w:styleId="ListBullet">
    <w:name w:val="List Bullet"/>
    <w:basedOn w:val="Normal"/>
    <w:locked/>
    <w:rsid w:val="006F5AA5"/>
    <w:pPr>
      <w:numPr>
        <w:numId w:val="1"/>
      </w:numPr>
      <w:contextualSpacing/>
    </w:pPr>
  </w:style>
  <w:style w:type="paragraph" w:styleId="ListBullet2">
    <w:name w:val="List Bullet 2"/>
    <w:basedOn w:val="Normal"/>
    <w:locked/>
    <w:rsid w:val="006F5AA5"/>
    <w:pPr>
      <w:numPr>
        <w:numId w:val="2"/>
      </w:numPr>
      <w:contextualSpacing/>
    </w:pPr>
  </w:style>
  <w:style w:type="paragraph" w:styleId="ListBullet3">
    <w:name w:val="List Bullet 3"/>
    <w:basedOn w:val="Normal"/>
    <w:locked/>
    <w:rsid w:val="006F5AA5"/>
    <w:pPr>
      <w:numPr>
        <w:numId w:val="3"/>
      </w:numPr>
      <w:contextualSpacing/>
    </w:pPr>
  </w:style>
  <w:style w:type="paragraph" w:styleId="ListBullet4">
    <w:name w:val="List Bullet 4"/>
    <w:basedOn w:val="Normal"/>
    <w:locked/>
    <w:rsid w:val="006F5AA5"/>
    <w:pPr>
      <w:numPr>
        <w:numId w:val="4"/>
      </w:numPr>
      <w:contextualSpacing/>
    </w:pPr>
  </w:style>
  <w:style w:type="paragraph" w:styleId="ListBullet5">
    <w:name w:val="List Bullet 5"/>
    <w:basedOn w:val="Normal"/>
    <w:locked/>
    <w:rsid w:val="006F5AA5"/>
    <w:pPr>
      <w:numPr>
        <w:numId w:val="5"/>
      </w:numPr>
      <w:contextualSpacing/>
    </w:pPr>
  </w:style>
  <w:style w:type="paragraph" w:styleId="ListContinue">
    <w:name w:val="List Continue"/>
    <w:basedOn w:val="Normal"/>
    <w:locked/>
    <w:rsid w:val="006F5AA5"/>
    <w:pPr>
      <w:spacing w:after="120"/>
      <w:ind w:left="283"/>
      <w:contextualSpacing/>
    </w:pPr>
  </w:style>
  <w:style w:type="paragraph" w:styleId="ListContinue2">
    <w:name w:val="List Continue 2"/>
    <w:basedOn w:val="Normal"/>
    <w:locked/>
    <w:rsid w:val="006F5AA5"/>
    <w:pPr>
      <w:spacing w:after="120"/>
      <w:ind w:left="566"/>
      <w:contextualSpacing/>
    </w:pPr>
  </w:style>
  <w:style w:type="paragraph" w:styleId="ListContinue3">
    <w:name w:val="List Continue 3"/>
    <w:basedOn w:val="Normal"/>
    <w:locked/>
    <w:rsid w:val="006F5AA5"/>
    <w:pPr>
      <w:spacing w:after="120"/>
      <w:ind w:left="849"/>
      <w:contextualSpacing/>
    </w:pPr>
  </w:style>
  <w:style w:type="paragraph" w:styleId="ListContinue4">
    <w:name w:val="List Continue 4"/>
    <w:basedOn w:val="Normal"/>
    <w:locked/>
    <w:rsid w:val="006F5AA5"/>
    <w:pPr>
      <w:spacing w:after="120"/>
      <w:ind w:left="1132"/>
      <w:contextualSpacing/>
    </w:pPr>
  </w:style>
  <w:style w:type="paragraph" w:styleId="ListContinue5">
    <w:name w:val="List Continue 5"/>
    <w:basedOn w:val="Normal"/>
    <w:locked/>
    <w:rsid w:val="006F5AA5"/>
    <w:pPr>
      <w:spacing w:after="120"/>
      <w:ind w:left="1415"/>
      <w:contextualSpacing/>
    </w:pPr>
  </w:style>
  <w:style w:type="paragraph" w:styleId="ListNumber">
    <w:name w:val="List Number"/>
    <w:basedOn w:val="Normal"/>
    <w:locked/>
    <w:rsid w:val="006F5AA5"/>
    <w:pPr>
      <w:numPr>
        <w:numId w:val="14"/>
      </w:numPr>
      <w:contextualSpacing/>
    </w:pPr>
  </w:style>
  <w:style w:type="paragraph" w:styleId="ListNumber2">
    <w:name w:val="List Number 2"/>
    <w:basedOn w:val="Normal"/>
    <w:locked/>
    <w:rsid w:val="006F5AA5"/>
    <w:pPr>
      <w:numPr>
        <w:numId w:val="15"/>
      </w:numPr>
      <w:contextualSpacing/>
    </w:pPr>
  </w:style>
  <w:style w:type="paragraph" w:styleId="ListNumber3">
    <w:name w:val="List Number 3"/>
    <w:basedOn w:val="Normal"/>
    <w:locked/>
    <w:rsid w:val="006F5AA5"/>
    <w:pPr>
      <w:numPr>
        <w:numId w:val="16"/>
      </w:numPr>
      <w:contextualSpacing/>
    </w:pPr>
  </w:style>
  <w:style w:type="paragraph" w:styleId="ListNumber4">
    <w:name w:val="List Number 4"/>
    <w:basedOn w:val="Normal"/>
    <w:locked/>
    <w:rsid w:val="006F5AA5"/>
    <w:pPr>
      <w:numPr>
        <w:numId w:val="17"/>
      </w:numPr>
      <w:contextualSpacing/>
    </w:pPr>
  </w:style>
  <w:style w:type="paragraph" w:styleId="ListNumber5">
    <w:name w:val="List Number 5"/>
    <w:basedOn w:val="Normal"/>
    <w:locked/>
    <w:rsid w:val="006F5AA5"/>
    <w:pPr>
      <w:numPr>
        <w:numId w:val="18"/>
      </w:numPr>
      <w:contextualSpacing/>
    </w:pPr>
  </w:style>
  <w:style w:type="paragraph" w:styleId="ListParagraph">
    <w:name w:val="List Paragraph"/>
    <w:basedOn w:val="Normal"/>
    <w:uiPriority w:val="34"/>
    <w:qFormat/>
    <w:rsid w:val="006F5AA5"/>
    <w:pPr>
      <w:ind w:left="720"/>
      <w:contextualSpacing/>
    </w:pPr>
  </w:style>
  <w:style w:type="paragraph" w:styleId="MacroText">
    <w:name w:val="macro"/>
    <w:link w:val="MacroTextChar"/>
    <w:locked/>
    <w:rsid w:val="006F5AA5"/>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lang w:eastAsia="en-US"/>
    </w:rPr>
  </w:style>
  <w:style w:type="character" w:customStyle="1" w:styleId="MacroTextChar">
    <w:name w:val="Macro Text Char"/>
    <w:basedOn w:val="DefaultParagraphFont"/>
    <w:link w:val="MacroText"/>
    <w:rsid w:val="006F5AA5"/>
    <w:rPr>
      <w:rFonts w:ascii="Consolas" w:hAnsi="Consolas"/>
      <w:color w:val="404040"/>
      <w:lang w:eastAsia="en-US"/>
    </w:rPr>
  </w:style>
  <w:style w:type="paragraph" w:styleId="MessageHeader">
    <w:name w:val="Message Header"/>
    <w:basedOn w:val="Normal"/>
    <w:link w:val="MessageHeaderChar"/>
    <w:locked/>
    <w:rsid w:val="006F5AA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F5AA5"/>
    <w:rPr>
      <w:rFonts w:asciiTheme="majorHAnsi" w:eastAsiaTheme="majorEastAsia" w:hAnsiTheme="majorHAnsi" w:cstheme="majorBidi"/>
      <w:color w:val="404040"/>
      <w:sz w:val="24"/>
      <w:szCs w:val="24"/>
      <w:shd w:val="pct20" w:color="auto" w:fill="auto"/>
      <w:lang w:eastAsia="en-US"/>
    </w:rPr>
  </w:style>
  <w:style w:type="paragraph" w:styleId="NormalWeb">
    <w:name w:val="Normal (Web)"/>
    <w:basedOn w:val="Normal"/>
    <w:locked/>
    <w:rsid w:val="006F5AA5"/>
    <w:rPr>
      <w:rFonts w:ascii="Times New Roman" w:hAnsi="Times New Roman"/>
      <w:sz w:val="24"/>
    </w:rPr>
  </w:style>
  <w:style w:type="paragraph" w:styleId="NormalIndent">
    <w:name w:val="Normal Indent"/>
    <w:basedOn w:val="Normal"/>
    <w:locked/>
    <w:rsid w:val="006F5AA5"/>
    <w:pPr>
      <w:ind w:left="720"/>
    </w:pPr>
  </w:style>
  <w:style w:type="paragraph" w:styleId="NoteHeading">
    <w:name w:val="Note Heading"/>
    <w:basedOn w:val="Normal"/>
    <w:next w:val="Normal"/>
    <w:link w:val="NoteHeadingChar"/>
    <w:locked/>
    <w:rsid w:val="006F5AA5"/>
  </w:style>
  <w:style w:type="character" w:customStyle="1" w:styleId="NoteHeadingChar">
    <w:name w:val="Note Heading Char"/>
    <w:basedOn w:val="DefaultParagraphFont"/>
    <w:link w:val="NoteHeading"/>
    <w:rsid w:val="006F5AA5"/>
    <w:rPr>
      <w:rFonts w:ascii="Arial" w:hAnsi="Arial"/>
      <w:color w:val="404040"/>
      <w:sz w:val="22"/>
      <w:szCs w:val="24"/>
      <w:lang w:eastAsia="en-US"/>
    </w:rPr>
  </w:style>
  <w:style w:type="paragraph" w:styleId="PlainText">
    <w:name w:val="Plain Text"/>
    <w:basedOn w:val="Normal"/>
    <w:link w:val="PlainTextChar"/>
    <w:locked/>
    <w:rsid w:val="006F5AA5"/>
    <w:rPr>
      <w:rFonts w:ascii="Consolas" w:hAnsi="Consolas"/>
      <w:sz w:val="21"/>
      <w:szCs w:val="21"/>
    </w:rPr>
  </w:style>
  <w:style w:type="character" w:customStyle="1" w:styleId="PlainTextChar">
    <w:name w:val="Plain Text Char"/>
    <w:basedOn w:val="DefaultParagraphFont"/>
    <w:link w:val="PlainText"/>
    <w:rsid w:val="006F5AA5"/>
    <w:rPr>
      <w:rFonts w:ascii="Consolas" w:hAnsi="Consolas"/>
      <w:color w:val="404040"/>
      <w:sz w:val="21"/>
      <w:szCs w:val="21"/>
      <w:lang w:eastAsia="en-US"/>
    </w:rPr>
  </w:style>
  <w:style w:type="paragraph" w:styleId="Salutation">
    <w:name w:val="Salutation"/>
    <w:basedOn w:val="Normal"/>
    <w:next w:val="Normal"/>
    <w:link w:val="SalutationChar"/>
    <w:locked/>
    <w:rsid w:val="006F5AA5"/>
  </w:style>
  <w:style w:type="character" w:customStyle="1" w:styleId="SalutationChar">
    <w:name w:val="Salutation Char"/>
    <w:basedOn w:val="DefaultParagraphFont"/>
    <w:link w:val="Salutation"/>
    <w:rsid w:val="006F5AA5"/>
    <w:rPr>
      <w:rFonts w:ascii="Arial" w:hAnsi="Arial"/>
      <w:color w:val="404040"/>
      <w:sz w:val="22"/>
      <w:szCs w:val="24"/>
      <w:lang w:eastAsia="en-US"/>
    </w:rPr>
  </w:style>
  <w:style w:type="paragraph" w:styleId="Signature">
    <w:name w:val="Signature"/>
    <w:basedOn w:val="Normal"/>
    <w:link w:val="SignatureChar"/>
    <w:locked/>
    <w:rsid w:val="006F5AA5"/>
    <w:pPr>
      <w:ind w:left="4252"/>
    </w:pPr>
  </w:style>
  <w:style w:type="character" w:customStyle="1" w:styleId="SignatureChar">
    <w:name w:val="Signature Char"/>
    <w:basedOn w:val="DefaultParagraphFont"/>
    <w:link w:val="Signature"/>
    <w:rsid w:val="006F5AA5"/>
    <w:rPr>
      <w:rFonts w:ascii="Arial" w:hAnsi="Arial"/>
      <w:color w:val="404040"/>
      <w:sz w:val="22"/>
      <w:szCs w:val="24"/>
      <w:lang w:eastAsia="en-US"/>
    </w:rPr>
  </w:style>
  <w:style w:type="paragraph" w:styleId="Subtitle">
    <w:name w:val="Subtitle"/>
    <w:basedOn w:val="Normal"/>
    <w:next w:val="Normal"/>
    <w:link w:val="SubtitleChar"/>
    <w:qFormat/>
    <w:locked/>
    <w:rsid w:val="006F5AA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F5AA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locked/>
    <w:rsid w:val="006F5AA5"/>
    <w:pPr>
      <w:ind w:left="220" w:hanging="220"/>
    </w:pPr>
  </w:style>
  <w:style w:type="paragraph" w:styleId="TableofFigures">
    <w:name w:val="table of figures"/>
    <w:basedOn w:val="Normal"/>
    <w:next w:val="Normal"/>
    <w:locked/>
    <w:rsid w:val="006F5AA5"/>
  </w:style>
  <w:style w:type="paragraph" w:styleId="Title">
    <w:name w:val="Title"/>
    <w:basedOn w:val="Normal"/>
    <w:next w:val="Normal"/>
    <w:link w:val="TitleChar"/>
    <w:qFormat/>
    <w:locked/>
    <w:rsid w:val="006F5AA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F5AA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locked/>
    <w:rsid w:val="006F5AA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6F5AA5"/>
    <w:pPr>
      <w:spacing w:before="240" w:after="0"/>
      <w:outlineLvl w:val="9"/>
    </w:pPr>
    <w:rPr>
      <w:rFonts w:asciiTheme="majorHAnsi" w:eastAsiaTheme="majorEastAsia" w:hAnsiTheme="majorHAnsi" w:cstheme="majorBidi"/>
      <w:bCs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sincourt.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465997656D1409F66CCB0060E5EC0" ma:contentTypeVersion="18" ma:contentTypeDescription="Create a new document." ma:contentTypeScope="" ma:versionID="6fa9a68e8ac66319027f1b3eefc6c8b8">
  <xsd:schema xmlns:xsd="http://www.w3.org/2001/XMLSchema" xmlns:xs="http://www.w3.org/2001/XMLSchema" xmlns:p="http://schemas.microsoft.com/office/2006/metadata/properties" xmlns:ns1="http://schemas.microsoft.com/sharepoint/v3" xmlns:ns3="9752d03a-f196-4f20-8060-1fcecc45ff19" xmlns:ns4="9f37d517-15d5-4f26-968b-73bacfc884b0" targetNamespace="http://schemas.microsoft.com/office/2006/metadata/properties" ma:root="true" ma:fieldsID="e77ff77eaa19fcae2f1226837389ad8f" ns1:_="" ns3:_="" ns4:_="">
    <xsd:import namespace="http://schemas.microsoft.com/sharepoint/v3"/>
    <xsd:import namespace="9752d03a-f196-4f20-8060-1fcecc45ff19"/>
    <xsd:import namespace="9f37d517-15d5-4f26-968b-73bacfc884b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2d03a-f196-4f20-8060-1fcecc45f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d517-15d5-4f26-968b-73bacfc884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52d03a-f196-4f20-8060-1fcecc45ff1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2.xml><?xml version="1.0" encoding="utf-8"?>
<ds:datastoreItem xmlns:ds="http://schemas.openxmlformats.org/officeDocument/2006/customXml" ds:itemID="{20B69F54-5AF9-4121-9F66-EDC1B3BF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2d03a-f196-4f20-8060-1fcecc45ff19"/>
    <ds:schemaRef ds:uri="9f37d517-15d5-4f26-968b-73bacfc88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53148-18FF-4837-A2FD-4D6E0F9777FF}">
  <ds:schemaRefs>
    <ds:schemaRef ds:uri="http://schemas.microsoft.com/sharepoint/v3/contenttype/forms"/>
  </ds:schemaRefs>
</ds:datastoreItem>
</file>

<file path=customXml/itemProps4.xml><?xml version="1.0" encoding="utf-8"?>
<ds:datastoreItem xmlns:ds="http://schemas.openxmlformats.org/officeDocument/2006/customXml" ds:itemID="{AEF74BBF-B82B-41BC-810D-2D6DAC63421C}">
  <ds:schemaRefs>
    <ds:schemaRef ds:uri="http://schemas.microsoft.com/office/2006/metadata/properties"/>
    <ds:schemaRef ds:uri="http://schemas.microsoft.com/office/infopath/2007/PartnerControls"/>
    <ds:schemaRef ds:uri="9752d03a-f196-4f20-8060-1fcecc45ff1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6</TotalTime>
  <Pages>5</Pages>
  <Words>1604</Words>
  <Characters>9147</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10730</CharactersWithSpaces>
  <SharedDoc>false</SharedDoc>
  <HLinks>
    <vt:vector size="6" baseType="variant">
      <vt:variant>
        <vt:i4>8257583</vt:i4>
      </vt:variant>
      <vt:variant>
        <vt:i4>0</vt:i4>
      </vt:variant>
      <vt:variant>
        <vt:i4>0</vt:i4>
      </vt:variant>
      <vt:variant>
        <vt:i4>5</vt:i4>
      </vt:variant>
      <vt:variant>
        <vt:lpwstr>http://www.fundsincourt.vic.gov.au/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8</cp:revision>
  <cp:lastPrinted>2018-05-02T01:34:00Z</cp:lastPrinted>
  <dcterms:created xsi:type="dcterms:W3CDTF">2024-05-09T06:14:00Z</dcterms:created>
  <dcterms:modified xsi:type="dcterms:W3CDTF">2025-04-17T06:17:00Z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0x010100A6E465997656D1409F66CCB0060E5EC0</vt:lpwstr>
  </property>
</Properties>
</file>